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jc w:val="center"/>
        <w:rPr>
          <w:rFonts w:hint="eastAsia"/>
          <w:b/>
          <w:bCs/>
          <w:sz w:val="32"/>
          <w:szCs w:val="32"/>
          <w:lang w:val="en-US" w:eastAsia="zh-CN"/>
        </w:rPr>
      </w:pPr>
      <w:r>
        <w:rPr>
          <w:rFonts w:hint="eastAsia"/>
          <w:b/>
          <w:bCs/>
          <w:sz w:val="32"/>
          <w:szCs w:val="32"/>
          <w:lang w:val="en-US" w:eastAsia="zh-CN"/>
        </w:rPr>
        <w:t>闵兢个人情况</w:t>
      </w:r>
    </w:p>
    <w:tbl>
      <w:tblPr>
        <w:tblStyle w:val="3"/>
        <w:tblW w:w="95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2"/>
        <w:gridCol w:w="1942"/>
        <w:gridCol w:w="1989"/>
        <w:gridCol w:w="1274"/>
        <w:gridCol w:w="2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8" w:hRule="atLeast"/>
        </w:trPr>
        <w:tc>
          <w:tcPr>
            <w:tcW w:w="9560" w:type="dxa"/>
            <w:gridSpan w:val="5"/>
            <w:tcBorders>
              <w:bottom w:val="single" w:color="auto" w:sz="4" w:space="0"/>
            </w:tcBorders>
            <w:vAlign w:val="center"/>
          </w:tcPr>
          <w:p>
            <w:pPr>
              <w:snapToGrid w:val="0"/>
              <w:rPr>
                <w:rFonts w:eastAsia="黑体"/>
                <w:sz w:val="24"/>
              </w:rPr>
            </w:pPr>
            <w:r>
              <w:rPr>
                <w:rFonts w:eastAsia="黑体"/>
                <w:sz w:val="24"/>
              </w:rPr>
              <w:t>任现职以来承担并完成科研任务、取得科研成果情况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8" w:hRule="atLeast"/>
        </w:trPr>
        <w:tc>
          <w:tcPr>
            <w:tcW w:w="1522" w:type="dxa"/>
            <w:vAlign w:val="center"/>
          </w:tcPr>
          <w:p>
            <w:pPr>
              <w:snapToGrid w:val="0"/>
              <w:rPr>
                <w:szCs w:val="21"/>
              </w:rPr>
            </w:pPr>
            <w:r>
              <w:rPr>
                <w:szCs w:val="21"/>
              </w:rPr>
              <w:t>起止年月</w:t>
            </w:r>
          </w:p>
        </w:tc>
        <w:tc>
          <w:tcPr>
            <w:tcW w:w="1942" w:type="dxa"/>
            <w:vAlign w:val="center"/>
          </w:tcPr>
          <w:p>
            <w:pPr>
              <w:snapToGrid w:val="0"/>
              <w:rPr>
                <w:szCs w:val="21"/>
              </w:rPr>
            </w:pPr>
            <w:r>
              <w:rPr>
                <w:szCs w:val="21"/>
              </w:rPr>
              <w:t xml:space="preserve"> 科研项目、课题名称</w:t>
            </w:r>
          </w:p>
        </w:tc>
        <w:tc>
          <w:tcPr>
            <w:tcW w:w="1989" w:type="dxa"/>
            <w:vAlign w:val="center"/>
          </w:tcPr>
          <w:p>
            <w:pPr>
              <w:snapToGrid w:val="0"/>
              <w:rPr>
                <w:szCs w:val="21"/>
              </w:rPr>
            </w:pPr>
            <w:r>
              <w:rPr>
                <w:szCs w:val="21"/>
              </w:rPr>
              <w:t>项目来源</w:t>
            </w:r>
          </w:p>
          <w:p>
            <w:pPr>
              <w:snapToGrid w:val="0"/>
              <w:rPr>
                <w:szCs w:val="21"/>
              </w:rPr>
            </w:pPr>
            <w:r>
              <w:rPr>
                <w:szCs w:val="21"/>
              </w:rPr>
              <w:t>及类别</w:t>
            </w:r>
          </w:p>
        </w:tc>
        <w:tc>
          <w:tcPr>
            <w:tcW w:w="1274" w:type="dxa"/>
            <w:tcBorders>
              <w:right w:val="single" w:color="auto" w:sz="4" w:space="0"/>
            </w:tcBorders>
            <w:vAlign w:val="center"/>
          </w:tcPr>
          <w:p>
            <w:pPr>
              <w:snapToGrid w:val="0"/>
              <w:rPr>
                <w:szCs w:val="21"/>
              </w:rPr>
            </w:pPr>
            <w:r>
              <w:rPr>
                <w:szCs w:val="21"/>
              </w:rPr>
              <w:t>本人角色及完成情况</w:t>
            </w:r>
          </w:p>
        </w:tc>
        <w:tc>
          <w:tcPr>
            <w:tcW w:w="2833" w:type="dxa"/>
            <w:tcBorders>
              <w:left w:val="single" w:color="auto" w:sz="4" w:space="0"/>
            </w:tcBorders>
            <w:vAlign w:val="center"/>
          </w:tcPr>
          <w:p>
            <w:pPr>
              <w:snapToGrid w:val="0"/>
              <w:rPr>
                <w:szCs w:val="21"/>
              </w:rPr>
            </w:pPr>
            <w:r>
              <w:rPr>
                <w:szCs w:val="21"/>
              </w:rPr>
              <w:t>成果获奖、专利及效益情况（注明授奖部门、奖励级别及排名）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4" w:hRule="atLeast"/>
        </w:trPr>
        <w:tc>
          <w:tcPr>
            <w:tcW w:w="1522" w:type="dxa"/>
            <w:vAlign w:val="top"/>
          </w:tcPr>
          <w:p>
            <w:pPr>
              <w:rPr>
                <w:rFonts w:hint="eastAsia"/>
                <w:bCs/>
                <w:szCs w:val="21"/>
                <w:lang w:val="en-US" w:eastAsia="zh-CN"/>
              </w:rPr>
            </w:pPr>
            <w:r>
              <w:rPr>
                <w:rFonts w:hint="eastAsia"/>
                <w:bCs/>
                <w:szCs w:val="21"/>
                <w:lang w:val="en-US" w:eastAsia="zh-CN"/>
              </w:rPr>
              <w:t>2011.03-2011.08</w:t>
            </w:r>
          </w:p>
        </w:tc>
        <w:tc>
          <w:tcPr>
            <w:tcW w:w="1942" w:type="dxa"/>
            <w:vAlign w:val="top"/>
          </w:tcPr>
          <w:p>
            <w:pPr>
              <w:rPr>
                <w:rFonts w:hint="default"/>
                <w:bCs/>
                <w:szCs w:val="21"/>
                <w:lang w:val="en-US" w:eastAsia="zh-CN"/>
              </w:rPr>
            </w:pPr>
            <w:r>
              <w:rPr>
                <w:rFonts w:hint="eastAsia"/>
                <w:bCs/>
                <w:szCs w:val="21"/>
                <w:lang w:val="en-US" w:eastAsia="zh-CN"/>
              </w:rPr>
              <w:t>基于创新社会管理的社会工作者的角色定位与功能发挥研究</w:t>
            </w:r>
          </w:p>
        </w:tc>
        <w:tc>
          <w:tcPr>
            <w:tcW w:w="1989" w:type="dxa"/>
            <w:vAlign w:val="top"/>
          </w:tcPr>
          <w:p>
            <w:pPr>
              <w:rPr>
                <w:rFonts w:hint="eastAsia"/>
                <w:bCs/>
                <w:szCs w:val="21"/>
                <w:lang w:val="en-US" w:eastAsia="zh-CN"/>
              </w:rPr>
            </w:pPr>
            <w:r>
              <w:rPr>
                <w:rFonts w:hint="eastAsia"/>
                <w:bCs/>
                <w:szCs w:val="21"/>
                <w:lang w:val="en-US" w:eastAsia="zh-CN"/>
              </w:rPr>
              <w:t>2011年度民政部自选研究课题</w:t>
            </w:r>
          </w:p>
          <w:p>
            <w:pPr>
              <w:rPr>
                <w:rFonts w:hint="eastAsia"/>
                <w:bCs/>
                <w:szCs w:val="21"/>
                <w:lang w:val="en-US" w:eastAsia="zh-CN"/>
              </w:rPr>
            </w:pPr>
            <w:r>
              <w:rPr>
                <w:rFonts w:hint="eastAsia"/>
                <w:bCs/>
                <w:szCs w:val="21"/>
                <w:lang w:val="en-US" w:eastAsia="zh-CN"/>
              </w:rPr>
              <w:t>部级</w:t>
            </w:r>
          </w:p>
        </w:tc>
        <w:tc>
          <w:tcPr>
            <w:tcW w:w="1274" w:type="dxa"/>
            <w:tcBorders>
              <w:right w:val="single" w:color="auto" w:sz="4" w:space="0"/>
            </w:tcBorders>
            <w:vAlign w:val="top"/>
          </w:tcPr>
          <w:p>
            <w:pPr>
              <w:rPr>
                <w:rFonts w:hint="eastAsia"/>
                <w:bCs/>
                <w:szCs w:val="21"/>
                <w:lang w:val="en-US" w:eastAsia="zh-CN"/>
              </w:rPr>
            </w:pPr>
            <w:r>
              <w:rPr>
                <w:rFonts w:hint="eastAsia"/>
                <w:bCs/>
                <w:szCs w:val="21"/>
                <w:lang w:val="en-US" w:eastAsia="zh-CN"/>
              </w:rPr>
              <w:t>主持人</w:t>
            </w:r>
          </w:p>
          <w:p>
            <w:pPr>
              <w:rPr>
                <w:rFonts w:hint="eastAsia"/>
                <w:bCs/>
                <w:szCs w:val="21"/>
                <w:lang w:val="en-US" w:eastAsia="zh-CN"/>
              </w:rPr>
            </w:pPr>
            <w:r>
              <w:rPr>
                <w:rFonts w:hint="eastAsia"/>
                <w:bCs/>
                <w:szCs w:val="21"/>
                <w:lang w:val="en-US" w:eastAsia="zh-CN"/>
              </w:rPr>
              <w:t>已结题</w:t>
            </w:r>
          </w:p>
        </w:tc>
        <w:tc>
          <w:tcPr>
            <w:tcW w:w="2833" w:type="dxa"/>
            <w:tcBorders>
              <w:left w:val="single" w:color="auto" w:sz="4" w:space="0"/>
            </w:tcBorders>
            <w:vAlign w:val="top"/>
          </w:tcPr>
          <w:p>
            <w:pPr>
              <w:rPr>
                <w:rFonts w:hint="default"/>
                <w:bCs/>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2" w:hRule="atLeast"/>
        </w:trPr>
        <w:tc>
          <w:tcPr>
            <w:tcW w:w="1522" w:type="dxa"/>
            <w:vAlign w:val="top"/>
          </w:tcPr>
          <w:p>
            <w:pPr>
              <w:rPr>
                <w:rFonts w:hint="eastAsia"/>
                <w:bCs/>
                <w:szCs w:val="21"/>
                <w:lang w:val="en-US" w:eastAsia="zh-CN"/>
              </w:rPr>
            </w:pPr>
            <w:r>
              <w:rPr>
                <w:rFonts w:hint="eastAsia"/>
                <w:bCs/>
                <w:szCs w:val="21"/>
                <w:lang w:val="en-US" w:eastAsia="zh-CN"/>
              </w:rPr>
              <w:t>2011.03-2011.08</w:t>
            </w:r>
          </w:p>
        </w:tc>
        <w:tc>
          <w:tcPr>
            <w:tcW w:w="1942" w:type="dxa"/>
            <w:vAlign w:val="top"/>
          </w:tcPr>
          <w:p>
            <w:pPr>
              <w:rPr>
                <w:rFonts w:hint="eastAsia"/>
                <w:bCs/>
                <w:szCs w:val="21"/>
                <w:lang w:val="en-US" w:eastAsia="zh-CN"/>
              </w:rPr>
            </w:pPr>
            <w:r>
              <w:rPr>
                <w:rFonts w:hint="eastAsia"/>
                <w:bCs/>
                <w:szCs w:val="21"/>
                <w:lang w:val="en-US" w:eastAsia="zh-CN"/>
              </w:rPr>
              <w:t>社会工作专业人才核心竞争力及在城市社区管理与服务中的作用研究</w:t>
            </w:r>
          </w:p>
        </w:tc>
        <w:tc>
          <w:tcPr>
            <w:tcW w:w="1989" w:type="dxa"/>
            <w:vAlign w:val="top"/>
          </w:tcPr>
          <w:p>
            <w:pPr>
              <w:rPr>
                <w:rFonts w:hint="eastAsia"/>
                <w:bCs/>
                <w:szCs w:val="21"/>
                <w:lang w:val="en-US" w:eastAsia="zh-CN"/>
              </w:rPr>
            </w:pPr>
            <w:r>
              <w:rPr>
                <w:rFonts w:hint="eastAsia"/>
                <w:bCs/>
                <w:szCs w:val="21"/>
                <w:lang w:val="en-US" w:eastAsia="zh-CN"/>
              </w:rPr>
              <w:t>2011年度民政部自选研究课题</w:t>
            </w:r>
          </w:p>
          <w:p>
            <w:pPr>
              <w:rPr>
                <w:rFonts w:hint="eastAsia"/>
                <w:bCs/>
                <w:szCs w:val="21"/>
                <w:lang w:val="en-US" w:eastAsia="zh-CN"/>
              </w:rPr>
            </w:pPr>
            <w:r>
              <w:rPr>
                <w:rFonts w:hint="eastAsia"/>
                <w:bCs/>
                <w:szCs w:val="21"/>
                <w:lang w:val="en-US" w:eastAsia="zh-CN"/>
              </w:rPr>
              <w:t>部级</w:t>
            </w:r>
          </w:p>
        </w:tc>
        <w:tc>
          <w:tcPr>
            <w:tcW w:w="1274" w:type="dxa"/>
            <w:tcBorders>
              <w:right w:val="single" w:color="auto" w:sz="4" w:space="0"/>
            </w:tcBorders>
            <w:vAlign w:val="top"/>
          </w:tcPr>
          <w:p>
            <w:pPr>
              <w:rPr>
                <w:rFonts w:hint="eastAsia"/>
                <w:bCs/>
                <w:szCs w:val="21"/>
                <w:lang w:val="en-US" w:eastAsia="zh-CN"/>
              </w:rPr>
            </w:pPr>
            <w:r>
              <w:rPr>
                <w:rFonts w:hint="eastAsia"/>
                <w:bCs/>
                <w:szCs w:val="21"/>
                <w:lang w:val="en-US" w:eastAsia="zh-CN"/>
              </w:rPr>
              <w:t>第三参与人</w:t>
            </w:r>
          </w:p>
          <w:p>
            <w:pPr>
              <w:rPr>
                <w:rFonts w:hint="default"/>
                <w:bCs/>
                <w:szCs w:val="21"/>
                <w:lang w:val="en-US" w:eastAsia="zh-CN"/>
              </w:rPr>
            </w:pPr>
            <w:r>
              <w:rPr>
                <w:rFonts w:hint="eastAsia"/>
                <w:bCs/>
                <w:szCs w:val="21"/>
                <w:lang w:val="en-US" w:eastAsia="zh-CN"/>
              </w:rPr>
              <w:t>已结题</w:t>
            </w:r>
          </w:p>
        </w:tc>
        <w:tc>
          <w:tcPr>
            <w:tcW w:w="2833" w:type="dxa"/>
            <w:tcBorders>
              <w:left w:val="single" w:color="auto" w:sz="4" w:space="0"/>
            </w:tcBorders>
            <w:vAlign w:val="top"/>
          </w:tcPr>
          <w:p>
            <w:pPr>
              <w:rPr>
                <w:rFonts w:hint="default"/>
                <w:bCs/>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2" w:hRule="atLeast"/>
        </w:trPr>
        <w:tc>
          <w:tcPr>
            <w:tcW w:w="1522" w:type="dxa"/>
            <w:vAlign w:val="top"/>
          </w:tcPr>
          <w:p>
            <w:pPr>
              <w:rPr>
                <w:rFonts w:hint="eastAsia"/>
                <w:bCs/>
                <w:szCs w:val="21"/>
                <w:lang w:val="en-US" w:eastAsia="zh-CN"/>
              </w:rPr>
            </w:pPr>
            <w:r>
              <w:rPr>
                <w:rFonts w:hint="eastAsia"/>
                <w:bCs/>
                <w:szCs w:val="21"/>
                <w:lang w:val="en-US" w:eastAsia="zh-CN"/>
              </w:rPr>
              <w:t>2012.03-2012.08</w:t>
            </w:r>
          </w:p>
        </w:tc>
        <w:tc>
          <w:tcPr>
            <w:tcW w:w="1942" w:type="dxa"/>
            <w:vAlign w:val="top"/>
          </w:tcPr>
          <w:p>
            <w:pPr>
              <w:rPr>
                <w:rFonts w:hint="eastAsia"/>
                <w:bCs/>
                <w:szCs w:val="21"/>
                <w:lang w:val="en-US" w:eastAsia="zh-CN"/>
              </w:rPr>
            </w:pPr>
            <w:r>
              <w:rPr>
                <w:rFonts w:hint="eastAsia"/>
                <w:bCs/>
                <w:szCs w:val="21"/>
                <w:lang w:val="en-US" w:eastAsia="zh-CN"/>
              </w:rPr>
              <w:t>欠发达地区村落社区重构与发展研究报告</w:t>
            </w:r>
          </w:p>
        </w:tc>
        <w:tc>
          <w:tcPr>
            <w:tcW w:w="1989" w:type="dxa"/>
            <w:vAlign w:val="top"/>
          </w:tcPr>
          <w:p>
            <w:pPr>
              <w:rPr>
                <w:rFonts w:hint="eastAsia"/>
                <w:bCs/>
                <w:szCs w:val="21"/>
                <w:lang w:val="en-US" w:eastAsia="zh-CN"/>
              </w:rPr>
            </w:pPr>
            <w:r>
              <w:rPr>
                <w:rFonts w:hint="eastAsia"/>
                <w:bCs/>
                <w:szCs w:val="21"/>
                <w:lang w:val="en-US" w:eastAsia="zh-CN"/>
              </w:rPr>
              <w:t>2012年民政部农村社区建设理论研究课题征文活动</w:t>
            </w:r>
          </w:p>
          <w:p>
            <w:pPr>
              <w:rPr>
                <w:rFonts w:hint="eastAsia"/>
                <w:bCs/>
                <w:szCs w:val="21"/>
                <w:lang w:val="en-US" w:eastAsia="zh-CN"/>
              </w:rPr>
            </w:pPr>
            <w:r>
              <w:rPr>
                <w:rFonts w:hint="eastAsia"/>
                <w:bCs/>
                <w:szCs w:val="21"/>
                <w:lang w:val="en-US" w:eastAsia="zh-CN"/>
              </w:rPr>
              <w:t>部级</w:t>
            </w:r>
          </w:p>
        </w:tc>
        <w:tc>
          <w:tcPr>
            <w:tcW w:w="1274" w:type="dxa"/>
            <w:tcBorders>
              <w:right w:val="single" w:color="auto" w:sz="4" w:space="0"/>
            </w:tcBorders>
            <w:vAlign w:val="top"/>
          </w:tcPr>
          <w:p>
            <w:pPr>
              <w:rPr>
                <w:rFonts w:hint="eastAsia"/>
                <w:bCs/>
                <w:szCs w:val="21"/>
                <w:lang w:val="en-US" w:eastAsia="zh-CN"/>
              </w:rPr>
            </w:pPr>
            <w:r>
              <w:rPr>
                <w:rFonts w:hint="eastAsia"/>
                <w:bCs/>
                <w:szCs w:val="21"/>
                <w:lang w:val="en-US" w:eastAsia="zh-CN"/>
              </w:rPr>
              <w:t>第六参与人</w:t>
            </w:r>
          </w:p>
          <w:p>
            <w:pPr>
              <w:rPr>
                <w:rFonts w:hint="eastAsia"/>
                <w:bCs/>
                <w:szCs w:val="21"/>
                <w:lang w:val="en-US" w:eastAsia="zh-CN"/>
              </w:rPr>
            </w:pPr>
            <w:r>
              <w:rPr>
                <w:rFonts w:hint="eastAsia"/>
                <w:bCs/>
                <w:szCs w:val="21"/>
                <w:lang w:val="en-US" w:eastAsia="zh-CN"/>
              </w:rPr>
              <w:t>已完成</w:t>
            </w:r>
          </w:p>
        </w:tc>
        <w:tc>
          <w:tcPr>
            <w:tcW w:w="2833" w:type="dxa"/>
            <w:tcBorders>
              <w:left w:val="single" w:color="auto" w:sz="4" w:space="0"/>
            </w:tcBorders>
            <w:vAlign w:val="top"/>
          </w:tcPr>
          <w:p>
            <w:pPr>
              <w:rPr>
                <w:rFonts w:hint="eastAsia"/>
                <w:bCs/>
                <w:szCs w:val="21"/>
                <w:lang w:val="en-US" w:eastAsia="zh-CN"/>
              </w:rPr>
            </w:pPr>
            <w:r>
              <w:rPr>
                <w:rFonts w:hint="eastAsia"/>
                <w:bCs/>
                <w:szCs w:val="21"/>
                <w:lang w:val="en-US" w:eastAsia="zh-CN"/>
              </w:rPr>
              <w:t>三等奖（中华人民共和国民政部）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2" w:hRule="atLeast"/>
        </w:trPr>
        <w:tc>
          <w:tcPr>
            <w:tcW w:w="1522" w:type="dxa"/>
            <w:vAlign w:val="top"/>
          </w:tcPr>
          <w:p>
            <w:pPr>
              <w:rPr>
                <w:rFonts w:hint="eastAsia"/>
                <w:bCs/>
                <w:szCs w:val="21"/>
                <w:lang w:val="en-US" w:eastAsia="zh-CN"/>
              </w:rPr>
            </w:pPr>
            <w:r>
              <w:rPr>
                <w:rFonts w:hint="eastAsia"/>
                <w:bCs/>
                <w:szCs w:val="21"/>
                <w:lang w:val="en-US" w:eastAsia="zh-CN"/>
              </w:rPr>
              <w:t>2012.07至今</w:t>
            </w:r>
          </w:p>
        </w:tc>
        <w:tc>
          <w:tcPr>
            <w:tcW w:w="1942" w:type="dxa"/>
            <w:vAlign w:val="top"/>
          </w:tcPr>
          <w:p>
            <w:pPr>
              <w:rPr>
                <w:rFonts w:hint="default"/>
                <w:bCs/>
                <w:szCs w:val="21"/>
                <w:lang w:val="en-US" w:eastAsia="zh-CN"/>
              </w:rPr>
            </w:pPr>
            <w:r>
              <w:rPr>
                <w:rFonts w:hint="eastAsia"/>
                <w:bCs/>
                <w:szCs w:val="21"/>
                <w:lang w:val="zh-CN" w:eastAsia="zh-CN"/>
              </w:rPr>
              <w:t>场域理论视角下的城市社区管理创新动力研究</w:t>
            </w:r>
          </w:p>
        </w:tc>
        <w:tc>
          <w:tcPr>
            <w:tcW w:w="1989" w:type="dxa"/>
            <w:vAlign w:val="top"/>
          </w:tcPr>
          <w:p>
            <w:pPr>
              <w:rPr>
                <w:rFonts w:hint="eastAsia"/>
                <w:bCs/>
                <w:szCs w:val="21"/>
                <w:lang w:val="en-US" w:eastAsia="zh-CN"/>
              </w:rPr>
            </w:pPr>
            <w:r>
              <w:rPr>
                <w:rFonts w:hint="eastAsia"/>
                <w:bCs/>
                <w:szCs w:val="21"/>
                <w:lang w:val="en-US" w:eastAsia="zh-CN"/>
              </w:rPr>
              <w:t>江苏省教育厅2012年度高校哲学社会科学研究指导项目</w:t>
            </w:r>
          </w:p>
          <w:p>
            <w:pPr>
              <w:rPr>
                <w:rFonts w:hint="eastAsia"/>
                <w:bCs/>
                <w:szCs w:val="21"/>
                <w:lang w:val="en-US" w:eastAsia="zh-CN"/>
              </w:rPr>
            </w:pPr>
            <w:r>
              <w:rPr>
                <w:rFonts w:hint="eastAsia"/>
                <w:bCs/>
                <w:szCs w:val="21"/>
                <w:lang w:val="en-US" w:eastAsia="zh-CN"/>
              </w:rPr>
              <w:t>厅级</w:t>
            </w:r>
          </w:p>
        </w:tc>
        <w:tc>
          <w:tcPr>
            <w:tcW w:w="1274" w:type="dxa"/>
            <w:tcBorders>
              <w:right w:val="single" w:color="auto" w:sz="4" w:space="0"/>
            </w:tcBorders>
            <w:vAlign w:val="top"/>
          </w:tcPr>
          <w:p>
            <w:pPr>
              <w:rPr>
                <w:rFonts w:hint="eastAsia"/>
                <w:bCs/>
                <w:szCs w:val="21"/>
                <w:lang w:val="en-US" w:eastAsia="zh-CN"/>
              </w:rPr>
            </w:pPr>
            <w:r>
              <w:rPr>
                <w:rFonts w:hint="eastAsia"/>
                <w:bCs/>
                <w:szCs w:val="21"/>
                <w:lang w:val="en-US" w:eastAsia="zh-CN"/>
              </w:rPr>
              <w:t>主持人</w:t>
            </w:r>
          </w:p>
          <w:p>
            <w:pPr>
              <w:rPr>
                <w:rFonts w:hint="eastAsia"/>
                <w:bCs/>
                <w:szCs w:val="21"/>
                <w:lang w:val="en-US" w:eastAsia="zh-CN"/>
              </w:rPr>
            </w:pPr>
            <w:r>
              <w:rPr>
                <w:rFonts w:hint="eastAsia"/>
                <w:bCs/>
                <w:szCs w:val="21"/>
                <w:lang w:val="en-US" w:eastAsia="zh-CN"/>
              </w:rPr>
              <w:t>在研</w:t>
            </w:r>
          </w:p>
        </w:tc>
        <w:tc>
          <w:tcPr>
            <w:tcW w:w="2833" w:type="dxa"/>
            <w:tcBorders>
              <w:left w:val="single" w:color="auto" w:sz="4" w:space="0"/>
            </w:tcBorders>
            <w:vAlign w:val="top"/>
          </w:tcPr>
          <w:p>
            <w:pPr>
              <w:rPr>
                <w:rFonts w:hint="default"/>
                <w:bCs/>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4" w:hRule="atLeast"/>
        </w:trPr>
        <w:tc>
          <w:tcPr>
            <w:tcW w:w="1522" w:type="dxa"/>
            <w:vAlign w:val="top"/>
          </w:tcPr>
          <w:p>
            <w:pPr>
              <w:rPr>
                <w:rFonts w:hint="eastAsia"/>
                <w:bCs/>
                <w:szCs w:val="21"/>
                <w:lang w:val="en-US" w:eastAsia="zh-CN"/>
              </w:rPr>
            </w:pPr>
            <w:r>
              <w:rPr>
                <w:rFonts w:hint="eastAsia"/>
                <w:bCs/>
                <w:szCs w:val="21"/>
                <w:lang w:val="en-US" w:eastAsia="zh-CN"/>
              </w:rPr>
              <w:t>2014.04-2014.12</w:t>
            </w:r>
          </w:p>
        </w:tc>
        <w:tc>
          <w:tcPr>
            <w:tcW w:w="1942" w:type="dxa"/>
            <w:vAlign w:val="top"/>
          </w:tcPr>
          <w:p>
            <w:pPr>
              <w:rPr>
                <w:rFonts w:hint="default"/>
                <w:bCs/>
                <w:szCs w:val="21"/>
                <w:lang w:val="en-US" w:eastAsia="zh-CN"/>
              </w:rPr>
            </w:pPr>
            <w:r>
              <w:rPr>
                <w:rFonts w:hint="eastAsia"/>
                <w:bCs/>
                <w:szCs w:val="21"/>
                <w:lang w:val="en-US" w:eastAsia="zh-CN"/>
              </w:rPr>
              <w:t>现阶段淮安市公共危机管理体系的构建研究</w:t>
            </w:r>
          </w:p>
        </w:tc>
        <w:tc>
          <w:tcPr>
            <w:tcW w:w="1989" w:type="dxa"/>
            <w:vAlign w:val="top"/>
          </w:tcPr>
          <w:p>
            <w:pPr>
              <w:rPr>
                <w:rFonts w:hint="eastAsia"/>
                <w:bCs/>
                <w:szCs w:val="21"/>
                <w:lang w:val="en-US" w:eastAsia="zh-CN"/>
              </w:rPr>
            </w:pPr>
            <w:r>
              <w:rPr>
                <w:rFonts w:hint="eastAsia"/>
                <w:bCs/>
                <w:szCs w:val="21"/>
                <w:lang w:val="en-US" w:eastAsia="zh-CN"/>
              </w:rPr>
              <w:t>2014年度淮安市社科类研究课题</w:t>
            </w:r>
          </w:p>
          <w:p>
            <w:pPr>
              <w:rPr>
                <w:rFonts w:hint="eastAsia"/>
                <w:bCs/>
                <w:szCs w:val="21"/>
                <w:lang w:val="en-US" w:eastAsia="zh-CN"/>
              </w:rPr>
            </w:pPr>
            <w:r>
              <w:rPr>
                <w:rFonts w:hint="eastAsia"/>
                <w:bCs/>
                <w:szCs w:val="21"/>
                <w:lang w:val="en-US" w:eastAsia="zh-CN"/>
              </w:rPr>
              <w:t>市级</w:t>
            </w:r>
          </w:p>
        </w:tc>
        <w:tc>
          <w:tcPr>
            <w:tcW w:w="1274" w:type="dxa"/>
            <w:tcBorders>
              <w:right w:val="single" w:color="auto" w:sz="4" w:space="0"/>
            </w:tcBorders>
            <w:vAlign w:val="top"/>
          </w:tcPr>
          <w:p>
            <w:pPr>
              <w:rPr>
                <w:rFonts w:hint="eastAsia"/>
                <w:bCs/>
                <w:szCs w:val="21"/>
                <w:lang w:val="en-US" w:eastAsia="zh-CN"/>
              </w:rPr>
            </w:pPr>
            <w:r>
              <w:rPr>
                <w:rFonts w:hint="eastAsia"/>
                <w:bCs/>
                <w:szCs w:val="21"/>
                <w:lang w:val="en-US" w:eastAsia="zh-CN"/>
              </w:rPr>
              <w:t>第一参与人</w:t>
            </w:r>
          </w:p>
          <w:p>
            <w:pPr>
              <w:rPr>
                <w:rFonts w:hint="eastAsia"/>
                <w:bCs/>
                <w:szCs w:val="21"/>
                <w:lang w:val="en-US" w:eastAsia="zh-CN"/>
              </w:rPr>
            </w:pPr>
            <w:r>
              <w:rPr>
                <w:rFonts w:hint="eastAsia"/>
                <w:bCs/>
                <w:szCs w:val="21"/>
                <w:lang w:val="en-US" w:eastAsia="zh-CN"/>
              </w:rPr>
              <w:t>已结题</w:t>
            </w:r>
          </w:p>
        </w:tc>
        <w:tc>
          <w:tcPr>
            <w:tcW w:w="2833" w:type="dxa"/>
            <w:tcBorders>
              <w:left w:val="single" w:color="auto" w:sz="4" w:space="0"/>
            </w:tcBorders>
            <w:vAlign w:val="top"/>
          </w:tcPr>
          <w:p>
            <w:pPr>
              <w:rPr>
                <w:rFonts w:hint="default"/>
                <w:bCs/>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4" w:hRule="atLeast"/>
        </w:trPr>
        <w:tc>
          <w:tcPr>
            <w:tcW w:w="1522" w:type="dxa"/>
            <w:vAlign w:val="top"/>
          </w:tcPr>
          <w:p>
            <w:pPr>
              <w:rPr>
                <w:rFonts w:hint="eastAsia"/>
                <w:bCs/>
                <w:szCs w:val="21"/>
                <w:lang w:val="en-US" w:eastAsia="zh-CN"/>
              </w:rPr>
            </w:pPr>
            <w:r>
              <w:rPr>
                <w:rFonts w:hint="eastAsia"/>
                <w:bCs/>
                <w:szCs w:val="21"/>
                <w:lang w:val="en-US" w:eastAsia="zh-CN"/>
              </w:rPr>
              <w:t>2015.03-2016.03</w:t>
            </w:r>
          </w:p>
        </w:tc>
        <w:tc>
          <w:tcPr>
            <w:tcW w:w="1942" w:type="dxa"/>
            <w:vAlign w:val="top"/>
          </w:tcPr>
          <w:p>
            <w:pPr>
              <w:rPr>
                <w:rFonts w:hint="eastAsia"/>
                <w:bCs/>
                <w:szCs w:val="21"/>
                <w:lang w:val="en-US" w:eastAsia="zh-CN"/>
              </w:rPr>
            </w:pPr>
            <w:r>
              <w:rPr>
                <w:rFonts w:hint="eastAsia"/>
                <w:bCs/>
                <w:szCs w:val="21"/>
                <w:lang w:val="en-US" w:eastAsia="zh-CN"/>
              </w:rPr>
              <w:t>江苏省公益创投与社会组织能力培育研究</w:t>
            </w:r>
          </w:p>
        </w:tc>
        <w:tc>
          <w:tcPr>
            <w:tcW w:w="1989" w:type="dxa"/>
            <w:vAlign w:val="top"/>
          </w:tcPr>
          <w:p>
            <w:pPr>
              <w:rPr>
                <w:rFonts w:hint="eastAsia"/>
                <w:bCs/>
                <w:szCs w:val="21"/>
                <w:lang w:val="en-US" w:eastAsia="zh-CN"/>
              </w:rPr>
            </w:pPr>
            <w:r>
              <w:rPr>
                <w:rFonts w:hint="eastAsia"/>
                <w:bCs/>
                <w:szCs w:val="21"/>
                <w:lang w:val="en-US" w:eastAsia="zh-CN"/>
              </w:rPr>
              <w:t>2015年度“省社科应用研究精品工程</w:t>
            </w:r>
          </w:p>
        </w:tc>
        <w:tc>
          <w:tcPr>
            <w:tcW w:w="1274" w:type="dxa"/>
            <w:tcBorders>
              <w:right w:val="single" w:color="auto" w:sz="4" w:space="0"/>
            </w:tcBorders>
            <w:vAlign w:val="top"/>
          </w:tcPr>
          <w:p>
            <w:pPr>
              <w:rPr>
                <w:rFonts w:hint="eastAsia"/>
                <w:bCs/>
                <w:szCs w:val="21"/>
                <w:lang w:val="en-US" w:eastAsia="zh-CN"/>
              </w:rPr>
            </w:pPr>
            <w:r>
              <w:rPr>
                <w:rFonts w:hint="eastAsia"/>
                <w:bCs/>
                <w:szCs w:val="21"/>
                <w:lang w:val="en-US" w:eastAsia="zh-CN"/>
              </w:rPr>
              <w:t>主持人，已结题</w:t>
            </w:r>
          </w:p>
        </w:tc>
        <w:tc>
          <w:tcPr>
            <w:tcW w:w="2833" w:type="dxa"/>
            <w:tcBorders>
              <w:left w:val="single" w:color="auto" w:sz="4" w:space="0"/>
            </w:tcBorders>
            <w:vAlign w:val="top"/>
          </w:tcPr>
          <w:p>
            <w:pPr>
              <w:rPr>
                <w:rFonts w:hint="default"/>
                <w:bCs/>
                <w:szCs w:val="21"/>
                <w:lang w:val="en-US" w:eastAsia="zh-CN"/>
              </w:rPr>
            </w:pPr>
          </w:p>
        </w:tc>
      </w:tr>
    </w:tbl>
    <w:p>
      <w:pPr>
        <w:rPr>
          <w:rFonts w:hint="eastAsia"/>
          <w:lang w:val="en-US" w:eastAsia="zh-CN"/>
        </w:rPr>
      </w:pPr>
    </w:p>
    <w:p>
      <w:pPr>
        <w:rPr>
          <w:rFonts w:hint="eastAsia"/>
          <w:lang w:val="en-US" w:eastAsia="zh-CN"/>
        </w:rPr>
      </w:pPr>
    </w:p>
    <w:tbl>
      <w:tblPr>
        <w:tblStyle w:val="3"/>
        <w:tblW w:w="99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24"/>
        <w:gridCol w:w="1985"/>
        <w:gridCol w:w="1771"/>
        <w:gridCol w:w="2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rPr>
        <w:tc>
          <w:tcPr>
            <w:tcW w:w="9920" w:type="dxa"/>
            <w:gridSpan w:val="4"/>
            <w:vAlign w:val="center"/>
          </w:tcPr>
          <w:p>
            <w:pPr>
              <w:snapToGrid w:val="0"/>
              <w:rPr>
                <w:rFonts w:eastAsia="黑体"/>
                <w:sz w:val="24"/>
              </w:rPr>
            </w:pPr>
            <w:r>
              <w:rPr>
                <w:rFonts w:eastAsia="黑体"/>
                <w:sz w:val="24"/>
              </w:rPr>
              <w:t>任现职以来发表、出版论文、论著、教材、教学参考书目录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1" w:hRule="atLeast"/>
        </w:trPr>
        <w:tc>
          <w:tcPr>
            <w:tcW w:w="3224" w:type="dxa"/>
            <w:vAlign w:val="center"/>
          </w:tcPr>
          <w:p>
            <w:pPr>
              <w:snapToGrid w:val="0"/>
              <w:rPr>
                <w:szCs w:val="21"/>
              </w:rPr>
            </w:pPr>
            <w:r>
              <w:rPr>
                <w:szCs w:val="21"/>
              </w:rPr>
              <w:t>题</w:t>
            </w:r>
            <w:r>
              <w:rPr>
                <w:rFonts w:hint="eastAsia"/>
                <w:szCs w:val="21"/>
              </w:rPr>
              <w:t xml:space="preserve">         </w:t>
            </w:r>
            <w:r>
              <w:rPr>
                <w:szCs w:val="21"/>
              </w:rPr>
              <w:t>目</w:t>
            </w:r>
          </w:p>
        </w:tc>
        <w:tc>
          <w:tcPr>
            <w:tcW w:w="1985" w:type="dxa"/>
            <w:vAlign w:val="center"/>
          </w:tcPr>
          <w:p>
            <w:pPr>
              <w:snapToGrid w:val="0"/>
              <w:ind w:right="-2"/>
              <w:rPr>
                <w:szCs w:val="21"/>
              </w:rPr>
            </w:pPr>
            <w:r>
              <w:rPr>
                <w:szCs w:val="21"/>
              </w:rPr>
              <w:t>何年何月在何刊物</w:t>
            </w:r>
          </w:p>
          <w:p>
            <w:pPr>
              <w:snapToGrid w:val="0"/>
              <w:ind w:right="-2" w:hanging="92"/>
              <w:rPr>
                <w:szCs w:val="21"/>
              </w:rPr>
            </w:pPr>
            <w:r>
              <w:rPr>
                <w:szCs w:val="21"/>
              </w:rPr>
              <w:t>发表或何出版社出版</w:t>
            </w:r>
          </w:p>
        </w:tc>
        <w:tc>
          <w:tcPr>
            <w:tcW w:w="1771" w:type="dxa"/>
            <w:vAlign w:val="center"/>
          </w:tcPr>
          <w:p>
            <w:pPr>
              <w:snapToGrid w:val="0"/>
              <w:rPr>
                <w:szCs w:val="21"/>
              </w:rPr>
            </w:pPr>
            <w:r>
              <w:rPr>
                <w:szCs w:val="21"/>
              </w:rPr>
              <w:t>本人承担部分及</w:t>
            </w:r>
          </w:p>
          <w:p>
            <w:pPr>
              <w:snapToGrid w:val="0"/>
              <w:rPr>
                <w:szCs w:val="21"/>
              </w:rPr>
            </w:pPr>
            <w:r>
              <w:rPr>
                <w:szCs w:val="21"/>
              </w:rPr>
              <w:t>字数(注明排名)</w:t>
            </w:r>
          </w:p>
        </w:tc>
        <w:tc>
          <w:tcPr>
            <w:tcW w:w="2940" w:type="dxa"/>
            <w:vAlign w:val="center"/>
          </w:tcPr>
          <w:p>
            <w:pPr>
              <w:snapToGrid w:val="0"/>
              <w:rPr>
                <w:szCs w:val="21"/>
              </w:rPr>
            </w:pPr>
            <w:r>
              <w:rPr>
                <w:szCs w:val="21"/>
              </w:rPr>
              <w:t>获奖情况（奖励部门、获奖级别及排名）</w:t>
            </w:r>
            <w:r>
              <w:rPr>
                <w:rFonts w:hint="eastAsia" w:hAnsi="宋体"/>
              </w:rPr>
              <w:t>、论文情况（刊物类型及收录引用）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1" w:hRule="atLeast"/>
        </w:trPr>
        <w:tc>
          <w:tcPr>
            <w:tcW w:w="3224" w:type="dxa"/>
            <w:vAlign w:val="center"/>
          </w:tcPr>
          <w:p>
            <w:pPr>
              <w:snapToGrid w:val="0"/>
              <w:rPr>
                <w:szCs w:val="21"/>
              </w:rPr>
            </w:pPr>
            <w:r>
              <w:rPr>
                <w:rFonts w:hint="default" w:ascii="宋体"/>
                <w:color w:val="000000"/>
                <w:kern w:val="0"/>
                <w:sz w:val="24"/>
                <w:lang w:val="en-US" w:eastAsia="zh-CN"/>
              </w:rPr>
              <w:fldChar w:fldCharType="begin"/>
            </w:r>
            <w:r>
              <w:rPr>
                <w:rFonts w:hint="default" w:ascii="宋体"/>
                <w:color w:val="000000"/>
                <w:kern w:val="0"/>
                <w:sz w:val="24"/>
                <w:lang w:val="en-US" w:eastAsia="zh-CN"/>
              </w:rPr>
              <w:instrText xml:space="preserve">HYPERLINK "https://vpn.hyit.edu.cn/web/1/http/1/epub.cnki.net/kns/detail/detail.aspx?QueryID=2&amp;CurRec=3&amp;DbCode=CJFQ&amp;dbname=CJFD0608&amp;filename=SHGO200610012&amp;urlid=&amp;yx="</w:instrText>
            </w:r>
            <w:r>
              <w:rPr>
                <w:rFonts w:hint="default" w:ascii="宋体"/>
                <w:color w:val="000000"/>
                <w:kern w:val="0"/>
                <w:sz w:val="24"/>
                <w:lang w:val="en-US" w:eastAsia="zh-CN"/>
              </w:rPr>
              <w:fldChar w:fldCharType="separate"/>
            </w:r>
            <w:r>
              <w:rPr>
                <w:rFonts w:hint="default" w:ascii="宋体"/>
                <w:color w:val="000000"/>
                <w:kern w:val="0"/>
                <w:sz w:val="24"/>
                <w:lang w:val="en-US" w:eastAsia="zh-CN"/>
              </w:rPr>
              <w:t>青少年犯罪问题治理中社区矫正较之司法矫正的优势分析</w:t>
            </w:r>
            <w:r>
              <w:rPr>
                <w:rFonts w:hint="default" w:ascii="宋体"/>
                <w:color w:val="000000"/>
                <w:kern w:val="0"/>
                <w:sz w:val="24"/>
                <w:lang w:val="en-US" w:eastAsia="zh-CN"/>
              </w:rPr>
              <w:fldChar w:fldCharType="end"/>
            </w:r>
          </w:p>
        </w:tc>
        <w:tc>
          <w:tcPr>
            <w:tcW w:w="1985" w:type="dxa"/>
            <w:vAlign w:val="center"/>
          </w:tcPr>
          <w:p>
            <w:pPr>
              <w:snapToGrid w:val="0"/>
              <w:ind w:right="-2" w:hanging="92"/>
              <w:rPr>
                <w:rFonts w:hint="eastAsia" w:eastAsiaTheme="minorEastAsia"/>
                <w:szCs w:val="21"/>
                <w:lang w:val="en-US" w:eastAsia="zh-CN"/>
              </w:rPr>
            </w:pPr>
            <w:r>
              <w:rPr>
                <w:rFonts w:hint="eastAsia"/>
                <w:szCs w:val="21"/>
                <w:lang w:val="en-US" w:eastAsia="zh-CN"/>
              </w:rPr>
              <w:t>2006.10《社会工作》</w:t>
            </w:r>
          </w:p>
        </w:tc>
        <w:tc>
          <w:tcPr>
            <w:tcW w:w="1771" w:type="dxa"/>
            <w:vAlign w:val="center"/>
          </w:tcPr>
          <w:p>
            <w:pPr>
              <w:snapToGrid w:val="0"/>
              <w:rPr>
                <w:rFonts w:hint="eastAsia"/>
                <w:szCs w:val="21"/>
                <w:lang w:val="en-US" w:eastAsia="zh-CN"/>
              </w:rPr>
            </w:pPr>
            <w:r>
              <w:rPr>
                <w:rFonts w:hint="eastAsia"/>
                <w:szCs w:val="21"/>
                <w:lang w:val="en-US" w:eastAsia="zh-CN"/>
              </w:rPr>
              <w:t>独立完成</w:t>
            </w:r>
          </w:p>
          <w:p>
            <w:pPr>
              <w:snapToGrid w:val="0"/>
              <w:rPr>
                <w:rFonts w:hint="eastAsia"/>
                <w:szCs w:val="21"/>
                <w:lang w:val="en-US" w:eastAsia="zh-CN"/>
              </w:rPr>
            </w:pPr>
            <w:r>
              <w:rPr>
                <w:rFonts w:hint="eastAsia"/>
                <w:szCs w:val="21"/>
                <w:lang w:val="en-US" w:eastAsia="zh-CN"/>
              </w:rPr>
              <w:t>4000字</w:t>
            </w:r>
          </w:p>
        </w:tc>
        <w:tc>
          <w:tcPr>
            <w:tcW w:w="2940" w:type="dxa"/>
            <w:vAlign w:val="center"/>
          </w:tcPr>
          <w:p>
            <w:pPr>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3224" w:type="dxa"/>
            <w:vAlign w:val="top"/>
          </w:tcPr>
          <w:p>
            <w:pPr>
              <w:rPr>
                <w:rFonts w:hint="eastAsia"/>
                <w:bCs/>
                <w:szCs w:val="21"/>
                <w:lang w:val="en-US" w:eastAsia="zh-CN"/>
              </w:rPr>
            </w:pPr>
            <w:r>
              <w:rPr>
                <w:rFonts w:hint="default"/>
                <w:bCs/>
                <w:szCs w:val="21"/>
                <w:lang w:val="en-US" w:eastAsia="zh-CN"/>
              </w:rPr>
              <w:fldChar w:fldCharType="begin"/>
            </w:r>
            <w:r>
              <w:rPr>
                <w:rFonts w:hint="default"/>
                <w:bCs/>
                <w:szCs w:val="21"/>
                <w:lang w:val="en-US" w:eastAsia="zh-CN"/>
              </w:rPr>
              <w:instrText xml:space="preserve">HYPERLINK "https://vpn.hyit.edu.cn/web/1/http/1/epub.cnki.net/kns/detail/detail.aspx?QueryID=2&amp;CurRec=4&amp;DbCode=CJFQ&amp;dbname=CJFD0910&amp;filename=SHGO200906006&amp;urlid=&amp;yx="</w:instrText>
            </w:r>
            <w:r>
              <w:rPr>
                <w:rFonts w:hint="default"/>
                <w:bCs/>
                <w:szCs w:val="21"/>
                <w:lang w:val="en-US" w:eastAsia="zh-CN"/>
              </w:rPr>
              <w:fldChar w:fldCharType="separate"/>
            </w:r>
            <w:r>
              <w:rPr>
                <w:rFonts w:hint="default"/>
                <w:bCs/>
                <w:szCs w:val="21"/>
                <w:lang w:val="en-US" w:eastAsia="zh-CN"/>
              </w:rPr>
              <w:t>印象管理理论在高校教师教学艺术中的运用——以小组工作课程为例</w:t>
            </w:r>
            <w:r>
              <w:rPr>
                <w:rFonts w:hint="default"/>
                <w:bCs/>
                <w:szCs w:val="21"/>
                <w:lang w:val="en-US" w:eastAsia="zh-CN"/>
              </w:rPr>
              <w:fldChar w:fldCharType="end"/>
            </w:r>
          </w:p>
        </w:tc>
        <w:tc>
          <w:tcPr>
            <w:tcW w:w="1985" w:type="dxa"/>
            <w:vAlign w:val="top"/>
          </w:tcPr>
          <w:p>
            <w:pPr>
              <w:rPr>
                <w:rFonts w:hint="eastAsia"/>
                <w:bCs/>
                <w:szCs w:val="21"/>
                <w:lang w:val="en-US" w:eastAsia="zh-CN"/>
              </w:rPr>
            </w:pPr>
            <w:r>
              <w:rPr>
                <w:rFonts w:hint="eastAsia"/>
                <w:bCs/>
                <w:szCs w:val="21"/>
                <w:lang w:val="en-US" w:eastAsia="zh-CN"/>
              </w:rPr>
              <w:t>2009.06《社会工作》</w:t>
            </w:r>
          </w:p>
        </w:tc>
        <w:tc>
          <w:tcPr>
            <w:tcW w:w="1771" w:type="dxa"/>
            <w:vAlign w:val="top"/>
          </w:tcPr>
          <w:p>
            <w:pPr>
              <w:rPr>
                <w:rFonts w:hint="eastAsia"/>
                <w:bCs/>
                <w:szCs w:val="21"/>
                <w:lang w:val="en-US" w:eastAsia="zh-CN"/>
              </w:rPr>
            </w:pPr>
            <w:r>
              <w:rPr>
                <w:rFonts w:hint="eastAsia"/>
                <w:bCs/>
                <w:szCs w:val="21"/>
                <w:lang w:val="en-US" w:eastAsia="zh-CN"/>
              </w:rPr>
              <w:t>独立完成</w:t>
            </w:r>
          </w:p>
          <w:p>
            <w:pPr>
              <w:rPr>
                <w:rFonts w:hint="eastAsia"/>
                <w:bCs/>
                <w:szCs w:val="21"/>
                <w:lang w:val="en-US" w:eastAsia="zh-CN"/>
              </w:rPr>
            </w:pPr>
            <w:r>
              <w:rPr>
                <w:rFonts w:hint="eastAsia"/>
                <w:bCs/>
                <w:szCs w:val="21"/>
                <w:lang w:val="en-US" w:eastAsia="zh-CN"/>
              </w:rPr>
              <w:t>4500字</w:t>
            </w:r>
          </w:p>
        </w:tc>
        <w:tc>
          <w:tcPr>
            <w:tcW w:w="2940" w:type="dxa"/>
            <w:vAlign w:val="top"/>
          </w:tcPr>
          <w:p>
            <w:pPr>
              <w:rPr>
                <w:rFonts w:hint="eastAsia"/>
                <w:bCs/>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3224" w:type="dxa"/>
            <w:vAlign w:val="top"/>
          </w:tcPr>
          <w:p>
            <w:pPr>
              <w:rPr>
                <w:rFonts w:hint="eastAsia"/>
                <w:bCs/>
                <w:szCs w:val="21"/>
                <w:lang w:val="en-US" w:eastAsia="zh-CN"/>
              </w:rPr>
            </w:pPr>
            <w:r>
              <w:rPr>
                <w:rFonts w:hint="default"/>
                <w:bCs/>
                <w:szCs w:val="21"/>
                <w:lang w:val="en-US" w:eastAsia="zh-CN"/>
              </w:rPr>
              <w:fldChar w:fldCharType="begin"/>
            </w:r>
            <w:r>
              <w:rPr>
                <w:rFonts w:hint="default"/>
                <w:bCs/>
                <w:szCs w:val="21"/>
                <w:lang w:val="en-US" w:eastAsia="zh-CN"/>
              </w:rPr>
              <w:instrText xml:space="preserve">HYPERLINK "https://vpn.hyit.edu.cn/web/1/http/1/epub.cnki.net/kns/detail/detail.aspx?QueryID=2&amp;CurRec=2&amp;DbCode=CJFQ&amp;dbname=CJFD0910&amp;filename=JXCY200911019&amp;urlid=&amp;yx="</w:instrText>
            </w:r>
            <w:r>
              <w:rPr>
                <w:rFonts w:hint="default"/>
                <w:bCs/>
                <w:szCs w:val="21"/>
                <w:lang w:val="en-US" w:eastAsia="zh-CN"/>
              </w:rPr>
              <w:fldChar w:fldCharType="separate"/>
            </w:r>
            <w:r>
              <w:rPr>
                <w:rFonts w:hint="default"/>
                <w:bCs/>
                <w:szCs w:val="21"/>
                <w:lang w:val="en-US" w:eastAsia="zh-CN"/>
              </w:rPr>
              <w:t>建构主义视角下的“小组工作”课程教学设计——一项课程改革的探索</w:t>
            </w:r>
            <w:r>
              <w:rPr>
                <w:rFonts w:hint="default"/>
                <w:bCs/>
                <w:szCs w:val="21"/>
                <w:lang w:val="en-US" w:eastAsia="zh-CN"/>
              </w:rPr>
              <w:fldChar w:fldCharType="end"/>
            </w:r>
          </w:p>
        </w:tc>
        <w:tc>
          <w:tcPr>
            <w:tcW w:w="1985" w:type="dxa"/>
            <w:vAlign w:val="top"/>
          </w:tcPr>
          <w:p>
            <w:pPr>
              <w:rPr>
                <w:rFonts w:hint="eastAsia"/>
                <w:bCs/>
                <w:szCs w:val="21"/>
                <w:lang w:val="en-US" w:eastAsia="zh-CN"/>
              </w:rPr>
            </w:pPr>
            <w:r>
              <w:rPr>
                <w:rFonts w:hint="eastAsia"/>
                <w:bCs/>
                <w:szCs w:val="21"/>
                <w:lang w:val="en-US" w:eastAsia="zh-CN"/>
              </w:rPr>
              <w:t>2009.11《中国大学教学》</w:t>
            </w:r>
          </w:p>
        </w:tc>
        <w:tc>
          <w:tcPr>
            <w:tcW w:w="1771" w:type="dxa"/>
            <w:vAlign w:val="top"/>
          </w:tcPr>
          <w:p>
            <w:pPr>
              <w:rPr>
                <w:rFonts w:hint="eastAsia"/>
                <w:bCs/>
                <w:szCs w:val="21"/>
                <w:lang w:val="en-US" w:eastAsia="zh-CN"/>
              </w:rPr>
            </w:pPr>
            <w:r>
              <w:rPr>
                <w:rFonts w:hint="eastAsia"/>
                <w:bCs/>
                <w:szCs w:val="21"/>
                <w:lang w:val="en-US" w:eastAsia="zh-CN"/>
              </w:rPr>
              <w:t>独立完成</w:t>
            </w:r>
          </w:p>
          <w:p>
            <w:pPr>
              <w:rPr>
                <w:rFonts w:hint="eastAsia"/>
                <w:bCs/>
                <w:szCs w:val="21"/>
                <w:lang w:val="en-US" w:eastAsia="zh-CN"/>
              </w:rPr>
            </w:pPr>
            <w:r>
              <w:rPr>
                <w:rFonts w:hint="eastAsia"/>
                <w:bCs/>
                <w:szCs w:val="21"/>
                <w:lang w:val="en-US" w:eastAsia="zh-CN"/>
              </w:rPr>
              <w:t>4700字</w:t>
            </w:r>
          </w:p>
        </w:tc>
        <w:tc>
          <w:tcPr>
            <w:tcW w:w="2940" w:type="dxa"/>
            <w:vAlign w:val="top"/>
          </w:tcPr>
          <w:p>
            <w:pPr>
              <w:rPr>
                <w:rFonts w:hint="eastAsia"/>
                <w:bCs/>
                <w:szCs w:val="21"/>
                <w:lang w:val="en-US" w:eastAsia="zh-CN"/>
              </w:rPr>
            </w:pPr>
            <w:r>
              <w:rPr>
                <w:rFonts w:hint="eastAsia"/>
                <w:bCs/>
                <w:szCs w:val="21"/>
                <w:lang w:val="en-US" w:eastAsia="zh-CN"/>
              </w:rPr>
              <w:t>全国中文核心期刊，CSSCI源刊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3224" w:type="dxa"/>
            <w:vAlign w:val="top"/>
          </w:tcPr>
          <w:p>
            <w:pPr>
              <w:rPr>
                <w:rFonts w:hint="eastAsia"/>
                <w:bCs/>
                <w:szCs w:val="21"/>
                <w:lang w:val="en-US" w:eastAsia="zh-CN"/>
              </w:rPr>
            </w:pPr>
            <w:r>
              <w:rPr>
                <w:rFonts w:hint="default"/>
                <w:bCs/>
                <w:szCs w:val="21"/>
                <w:lang w:val="en-US" w:eastAsia="zh-CN"/>
              </w:rPr>
              <w:fldChar w:fldCharType="begin"/>
            </w:r>
            <w:r>
              <w:rPr>
                <w:rFonts w:hint="default"/>
                <w:bCs/>
                <w:szCs w:val="21"/>
                <w:lang w:val="en-US" w:eastAsia="zh-CN"/>
              </w:rPr>
              <w:instrText xml:space="preserve">HYPERLINK "https://vpn.hyit.edu.cn/web/1/http/1/epub.cnki.net/kns/detail/detail.aspx?QueryID=2&amp;CurRec=1&amp;DbCode=CJFQ&amp;dbname=CJFD1112&amp;filename=XHAI201104019&amp;urlid=&amp;yx="</w:instrText>
            </w:r>
            <w:r>
              <w:rPr>
                <w:rFonts w:hint="default"/>
                <w:bCs/>
                <w:szCs w:val="21"/>
                <w:lang w:val="en-US" w:eastAsia="zh-CN"/>
              </w:rPr>
              <w:fldChar w:fldCharType="separate"/>
            </w:r>
            <w:r>
              <w:rPr>
                <w:rFonts w:hint="default"/>
                <w:bCs/>
                <w:szCs w:val="21"/>
                <w:lang w:val="en-US" w:eastAsia="zh-CN"/>
              </w:rPr>
              <w:t>公共危机治理视域下的社区应急准备</w:t>
            </w:r>
            <w:r>
              <w:rPr>
                <w:rFonts w:hint="default"/>
                <w:bCs/>
                <w:szCs w:val="21"/>
                <w:lang w:val="en-US" w:eastAsia="zh-CN"/>
              </w:rPr>
              <w:fldChar w:fldCharType="end"/>
            </w:r>
          </w:p>
        </w:tc>
        <w:tc>
          <w:tcPr>
            <w:tcW w:w="1985" w:type="dxa"/>
            <w:vAlign w:val="top"/>
          </w:tcPr>
          <w:p>
            <w:pPr>
              <w:rPr>
                <w:rFonts w:hint="eastAsia"/>
                <w:bCs/>
                <w:szCs w:val="21"/>
                <w:lang w:val="en-US" w:eastAsia="zh-CN"/>
              </w:rPr>
            </w:pPr>
            <w:r>
              <w:rPr>
                <w:rFonts w:hint="eastAsia"/>
                <w:bCs/>
                <w:szCs w:val="21"/>
                <w:lang w:val="en-US" w:eastAsia="zh-CN"/>
              </w:rPr>
              <w:t>2011.07《学海》</w:t>
            </w:r>
          </w:p>
        </w:tc>
        <w:tc>
          <w:tcPr>
            <w:tcW w:w="1771" w:type="dxa"/>
            <w:vAlign w:val="top"/>
          </w:tcPr>
          <w:p>
            <w:pPr>
              <w:rPr>
                <w:rFonts w:hint="eastAsia"/>
                <w:bCs/>
                <w:szCs w:val="21"/>
                <w:lang w:val="en-US" w:eastAsia="zh-CN"/>
              </w:rPr>
            </w:pPr>
            <w:r>
              <w:rPr>
                <w:rFonts w:hint="eastAsia"/>
                <w:bCs/>
                <w:szCs w:val="21"/>
                <w:lang w:val="en-US" w:eastAsia="zh-CN"/>
              </w:rPr>
              <w:t>第一作者</w:t>
            </w:r>
          </w:p>
          <w:p>
            <w:pPr>
              <w:rPr>
                <w:rFonts w:hint="eastAsia"/>
                <w:bCs/>
                <w:szCs w:val="21"/>
                <w:lang w:val="en-US" w:eastAsia="zh-CN"/>
              </w:rPr>
            </w:pPr>
            <w:r>
              <w:rPr>
                <w:rFonts w:hint="eastAsia"/>
                <w:bCs/>
                <w:szCs w:val="21"/>
                <w:lang w:val="en-US" w:eastAsia="zh-CN"/>
              </w:rPr>
              <w:t>13000字</w:t>
            </w:r>
          </w:p>
        </w:tc>
        <w:tc>
          <w:tcPr>
            <w:tcW w:w="2940" w:type="dxa"/>
            <w:vAlign w:val="top"/>
          </w:tcPr>
          <w:p>
            <w:pPr>
              <w:rPr>
                <w:rFonts w:hint="eastAsia"/>
                <w:bCs/>
                <w:szCs w:val="21"/>
                <w:lang w:val="en-US" w:eastAsia="zh-CN"/>
              </w:rPr>
            </w:pPr>
            <w:r>
              <w:rPr>
                <w:rFonts w:hint="eastAsia"/>
                <w:bCs/>
                <w:szCs w:val="21"/>
                <w:lang w:val="en-US" w:eastAsia="zh-CN"/>
              </w:rPr>
              <w:t>全国中文核心期刊，CSSCI源刊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9" w:hRule="atLeast"/>
        </w:trPr>
        <w:tc>
          <w:tcPr>
            <w:tcW w:w="3224" w:type="dxa"/>
            <w:vAlign w:val="top"/>
          </w:tcPr>
          <w:p>
            <w:pPr>
              <w:rPr>
                <w:rFonts w:hint="eastAsia"/>
                <w:bCs/>
                <w:szCs w:val="21"/>
                <w:lang w:val="en-US" w:eastAsia="zh-CN"/>
              </w:rPr>
            </w:pPr>
            <w:r>
              <w:rPr>
                <w:rFonts w:hint="eastAsia"/>
                <w:bCs/>
                <w:szCs w:val="21"/>
                <w:lang w:val="en-US" w:eastAsia="zh-CN"/>
              </w:rPr>
              <w:t>《社会学概论》</w:t>
            </w:r>
          </w:p>
        </w:tc>
        <w:tc>
          <w:tcPr>
            <w:tcW w:w="1985" w:type="dxa"/>
            <w:vAlign w:val="top"/>
          </w:tcPr>
          <w:p>
            <w:pPr>
              <w:rPr>
                <w:rFonts w:hint="eastAsia"/>
                <w:bCs/>
                <w:szCs w:val="21"/>
                <w:lang w:val="en-US" w:eastAsia="zh-CN"/>
              </w:rPr>
            </w:pPr>
            <w:r>
              <w:rPr>
                <w:rFonts w:hint="eastAsia"/>
                <w:bCs/>
                <w:szCs w:val="21"/>
                <w:lang w:val="en-US" w:eastAsia="zh-CN"/>
              </w:rPr>
              <w:t>2013年南京大学出版社</w:t>
            </w:r>
          </w:p>
        </w:tc>
        <w:tc>
          <w:tcPr>
            <w:tcW w:w="1771" w:type="dxa"/>
            <w:vAlign w:val="top"/>
          </w:tcPr>
          <w:p>
            <w:pPr>
              <w:rPr>
                <w:rFonts w:hint="eastAsia"/>
                <w:bCs/>
                <w:szCs w:val="21"/>
                <w:lang w:val="en-US" w:eastAsia="zh-CN"/>
              </w:rPr>
            </w:pPr>
            <w:r>
              <w:rPr>
                <w:rFonts w:hint="eastAsia"/>
                <w:bCs/>
                <w:szCs w:val="21"/>
                <w:lang w:val="en-US" w:eastAsia="zh-CN"/>
              </w:rPr>
              <w:t>第八章、第十二章 33000字</w:t>
            </w:r>
          </w:p>
        </w:tc>
        <w:tc>
          <w:tcPr>
            <w:tcW w:w="2940" w:type="dxa"/>
            <w:vAlign w:val="top"/>
          </w:tcPr>
          <w:p>
            <w:pPr>
              <w:rPr>
                <w:rFonts w:hint="default"/>
                <w:bCs/>
                <w:szCs w:val="21"/>
                <w:lang w:val="en-US" w:eastAsia="zh-CN"/>
              </w:rPr>
            </w:pPr>
          </w:p>
        </w:tc>
      </w:tr>
    </w:tbl>
    <w:p>
      <w:pPr>
        <w:rPr>
          <w:rFonts w:hint="eastAsia"/>
          <w:lang w:val="en-US" w:eastAsia="zh-CN"/>
        </w:rPr>
      </w:pPr>
    </w:p>
    <w:p>
      <w:pPr>
        <w:rPr>
          <w:rFonts w:hint="eastAsia"/>
          <w:lang w:val="en-US" w:eastAsia="zh-CN"/>
        </w:rPr>
      </w:pPr>
    </w:p>
    <w:tbl>
      <w:tblPr>
        <w:tblStyle w:val="3"/>
        <w:tblW w:w="9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3530"/>
        <w:gridCol w:w="1194"/>
        <w:gridCol w:w="2311"/>
        <w:gridCol w:w="939"/>
        <w:gridCol w:w="1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1" w:hRule="atLeast"/>
        </w:trPr>
        <w:tc>
          <w:tcPr>
            <w:tcW w:w="690" w:type="dxa"/>
            <w:vMerge w:val="restart"/>
            <w:vAlign w:val="center"/>
          </w:tcPr>
          <w:p>
            <w:pPr>
              <w:rPr>
                <w:rFonts w:hint="eastAsia"/>
                <w:sz w:val="24"/>
              </w:rPr>
            </w:pPr>
            <w:r>
              <w:rPr>
                <w:rFonts w:eastAsia="黑体"/>
                <w:sz w:val="24"/>
              </w:rPr>
              <w:t>任</w:t>
            </w:r>
            <w:r>
              <w:rPr>
                <w:rFonts w:hint="eastAsia" w:eastAsia="黑体"/>
                <w:sz w:val="24"/>
                <w:lang w:val="en-US" w:eastAsia="zh-CN"/>
              </w:rPr>
              <w:t>现职以来获奖情况</w:t>
            </w:r>
          </w:p>
        </w:tc>
        <w:tc>
          <w:tcPr>
            <w:tcW w:w="3530" w:type="dxa"/>
            <w:vAlign w:val="center"/>
          </w:tcPr>
          <w:p>
            <w:pPr>
              <w:snapToGrid w:val="0"/>
              <w:rPr>
                <w:szCs w:val="21"/>
              </w:rPr>
            </w:pPr>
            <w:r>
              <w:rPr>
                <w:szCs w:val="21"/>
              </w:rPr>
              <w:t>荣誉称号、表彰奖励名称</w:t>
            </w:r>
          </w:p>
        </w:tc>
        <w:tc>
          <w:tcPr>
            <w:tcW w:w="1194" w:type="dxa"/>
            <w:vAlign w:val="center"/>
          </w:tcPr>
          <w:p>
            <w:pPr>
              <w:snapToGrid w:val="0"/>
              <w:rPr>
                <w:szCs w:val="21"/>
              </w:rPr>
            </w:pPr>
            <w:r>
              <w:rPr>
                <w:szCs w:val="21"/>
              </w:rPr>
              <w:t>获奖时间</w:t>
            </w:r>
          </w:p>
        </w:tc>
        <w:tc>
          <w:tcPr>
            <w:tcW w:w="2311" w:type="dxa"/>
            <w:vAlign w:val="center"/>
          </w:tcPr>
          <w:p>
            <w:pPr>
              <w:snapToGrid w:val="0"/>
              <w:rPr>
                <w:szCs w:val="21"/>
              </w:rPr>
            </w:pPr>
            <w:r>
              <w:rPr>
                <w:szCs w:val="21"/>
              </w:rPr>
              <w:t>授奖部门</w:t>
            </w:r>
          </w:p>
        </w:tc>
        <w:tc>
          <w:tcPr>
            <w:tcW w:w="939" w:type="dxa"/>
            <w:vAlign w:val="center"/>
          </w:tcPr>
          <w:p>
            <w:pPr>
              <w:snapToGrid w:val="0"/>
              <w:rPr>
                <w:szCs w:val="21"/>
              </w:rPr>
            </w:pPr>
            <w:r>
              <w:rPr>
                <w:szCs w:val="21"/>
              </w:rPr>
              <w:t>获奖级别</w:t>
            </w:r>
          </w:p>
        </w:tc>
        <w:tc>
          <w:tcPr>
            <w:tcW w:w="1216" w:type="dxa"/>
            <w:vAlign w:val="center"/>
          </w:tcPr>
          <w:p>
            <w:pPr>
              <w:snapToGrid w:val="0"/>
              <w:rPr>
                <w:szCs w:val="21"/>
              </w:rPr>
            </w:pPr>
            <w:r>
              <w:rPr>
                <w:szCs w:val="21"/>
              </w:rPr>
              <w:t>排名/总人数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0" w:hRule="atLeast"/>
        </w:trPr>
        <w:tc>
          <w:tcPr>
            <w:tcW w:w="690" w:type="dxa"/>
            <w:vMerge w:val="continue"/>
            <w:vAlign w:val="center"/>
          </w:tcPr>
          <w:p>
            <w:pPr>
              <w:snapToGrid w:val="0"/>
              <w:rPr>
                <w:sz w:val="24"/>
              </w:rPr>
            </w:pPr>
          </w:p>
        </w:tc>
        <w:tc>
          <w:tcPr>
            <w:tcW w:w="3530" w:type="dxa"/>
            <w:vAlign w:val="top"/>
          </w:tcPr>
          <w:p>
            <w:pPr>
              <w:rPr>
                <w:rFonts w:hint="eastAsia"/>
                <w:bCs/>
                <w:szCs w:val="21"/>
                <w:lang w:val="en-US" w:eastAsia="zh-CN"/>
              </w:rPr>
            </w:pPr>
            <w:r>
              <w:rPr>
                <w:rFonts w:hint="eastAsia"/>
                <w:bCs/>
                <w:szCs w:val="21"/>
                <w:lang w:val="en-US" w:eastAsia="zh-CN"/>
              </w:rPr>
              <w:t>校优秀班主任</w:t>
            </w:r>
          </w:p>
        </w:tc>
        <w:tc>
          <w:tcPr>
            <w:tcW w:w="1194" w:type="dxa"/>
            <w:vAlign w:val="top"/>
          </w:tcPr>
          <w:p>
            <w:pPr>
              <w:rPr>
                <w:rFonts w:hint="eastAsia"/>
                <w:bCs/>
                <w:szCs w:val="21"/>
                <w:lang w:val="en-US" w:eastAsia="zh-CN"/>
              </w:rPr>
            </w:pPr>
            <w:r>
              <w:rPr>
                <w:rFonts w:hint="eastAsia"/>
                <w:bCs/>
                <w:szCs w:val="21"/>
                <w:lang w:val="en-US" w:eastAsia="zh-CN"/>
              </w:rPr>
              <w:t>2007</w:t>
            </w:r>
          </w:p>
        </w:tc>
        <w:tc>
          <w:tcPr>
            <w:tcW w:w="2311" w:type="dxa"/>
            <w:vAlign w:val="top"/>
          </w:tcPr>
          <w:p>
            <w:pPr>
              <w:rPr>
                <w:rFonts w:hint="eastAsia"/>
                <w:bCs/>
                <w:szCs w:val="21"/>
                <w:lang w:val="en-US" w:eastAsia="zh-CN"/>
              </w:rPr>
            </w:pPr>
            <w:r>
              <w:rPr>
                <w:rFonts w:hint="eastAsia"/>
                <w:bCs/>
                <w:szCs w:val="21"/>
                <w:lang w:val="en-US" w:eastAsia="zh-CN"/>
              </w:rPr>
              <w:t>淮阴工学院</w:t>
            </w:r>
          </w:p>
        </w:tc>
        <w:tc>
          <w:tcPr>
            <w:tcW w:w="939" w:type="dxa"/>
            <w:vAlign w:val="top"/>
          </w:tcPr>
          <w:p>
            <w:pPr>
              <w:rPr>
                <w:rFonts w:hint="eastAsia"/>
                <w:bCs/>
                <w:szCs w:val="21"/>
                <w:lang w:val="en-US" w:eastAsia="zh-CN"/>
              </w:rPr>
            </w:pPr>
            <w:r>
              <w:rPr>
                <w:rFonts w:hint="eastAsia"/>
                <w:bCs/>
                <w:szCs w:val="21"/>
                <w:lang w:val="en-US" w:eastAsia="zh-CN"/>
              </w:rPr>
              <w:t>校级</w:t>
            </w:r>
          </w:p>
        </w:tc>
        <w:tc>
          <w:tcPr>
            <w:tcW w:w="1216" w:type="dxa"/>
            <w:vAlign w:val="top"/>
          </w:tcPr>
          <w:p>
            <w:pPr>
              <w:rPr>
                <w:rFonts w:hint="eastAsia"/>
                <w:bCs/>
                <w:szCs w:val="21"/>
                <w:lang w:val="en-US" w:eastAsia="zh-CN"/>
              </w:rPr>
            </w:pPr>
            <w:r>
              <w:rPr>
                <w:rFonts w:hint="eastAsia"/>
                <w:bCs/>
                <w:szCs w:val="21"/>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0" w:hRule="atLeast"/>
        </w:trPr>
        <w:tc>
          <w:tcPr>
            <w:tcW w:w="690" w:type="dxa"/>
            <w:vMerge w:val="continue"/>
            <w:vAlign w:val="center"/>
          </w:tcPr>
          <w:p>
            <w:pPr>
              <w:snapToGrid w:val="0"/>
              <w:rPr>
                <w:sz w:val="24"/>
              </w:rPr>
            </w:pPr>
          </w:p>
        </w:tc>
        <w:tc>
          <w:tcPr>
            <w:tcW w:w="3530" w:type="dxa"/>
            <w:vAlign w:val="top"/>
          </w:tcPr>
          <w:p>
            <w:pPr>
              <w:rPr>
                <w:rFonts w:hint="eastAsia"/>
                <w:bCs/>
                <w:szCs w:val="21"/>
                <w:lang w:val="en-US" w:eastAsia="zh-CN"/>
              </w:rPr>
            </w:pPr>
            <w:r>
              <w:rPr>
                <w:rFonts w:hint="eastAsia"/>
                <w:bCs/>
                <w:szCs w:val="21"/>
                <w:lang w:val="en-US" w:eastAsia="zh-CN"/>
              </w:rPr>
              <w:t>校先进工作者</w:t>
            </w:r>
          </w:p>
        </w:tc>
        <w:tc>
          <w:tcPr>
            <w:tcW w:w="1194" w:type="dxa"/>
            <w:vAlign w:val="top"/>
          </w:tcPr>
          <w:p>
            <w:pPr>
              <w:rPr>
                <w:rFonts w:hint="eastAsia"/>
                <w:bCs/>
                <w:szCs w:val="21"/>
                <w:lang w:val="en-US" w:eastAsia="zh-CN"/>
              </w:rPr>
            </w:pPr>
            <w:r>
              <w:rPr>
                <w:rFonts w:hint="eastAsia"/>
                <w:bCs/>
                <w:szCs w:val="21"/>
                <w:lang w:val="en-US" w:eastAsia="zh-CN"/>
              </w:rPr>
              <w:t>2007</w:t>
            </w:r>
          </w:p>
        </w:tc>
        <w:tc>
          <w:tcPr>
            <w:tcW w:w="2311" w:type="dxa"/>
            <w:vAlign w:val="top"/>
          </w:tcPr>
          <w:p>
            <w:pPr>
              <w:rPr>
                <w:rFonts w:hint="eastAsia"/>
                <w:bCs/>
                <w:szCs w:val="21"/>
                <w:lang w:val="en-US" w:eastAsia="zh-CN"/>
              </w:rPr>
            </w:pPr>
            <w:r>
              <w:rPr>
                <w:rFonts w:hint="eastAsia"/>
                <w:bCs/>
                <w:szCs w:val="21"/>
                <w:lang w:val="en-US" w:eastAsia="zh-CN"/>
              </w:rPr>
              <w:t>淮阴工学院</w:t>
            </w:r>
          </w:p>
        </w:tc>
        <w:tc>
          <w:tcPr>
            <w:tcW w:w="939" w:type="dxa"/>
            <w:vAlign w:val="top"/>
          </w:tcPr>
          <w:p>
            <w:pPr>
              <w:rPr>
                <w:rFonts w:hint="eastAsia"/>
                <w:bCs/>
                <w:szCs w:val="21"/>
                <w:lang w:val="en-US" w:eastAsia="zh-CN"/>
              </w:rPr>
            </w:pPr>
            <w:r>
              <w:rPr>
                <w:rFonts w:hint="eastAsia"/>
                <w:bCs/>
                <w:szCs w:val="21"/>
                <w:lang w:val="en-US" w:eastAsia="zh-CN"/>
              </w:rPr>
              <w:t>校级</w:t>
            </w:r>
          </w:p>
        </w:tc>
        <w:tc>
          <w:tcPr>
            <w:tcW w:w="1216" w:type="dxa"/>
            <w:vAlign w:val="top"/>
          </w:tcPr>
          <w:p>
            <w:pPr>
              <w:rPr>
                <w:rFonts w:hint="eastAsia"/>
                <w:bCs/>
                <w:szCs w:val="21"/>
                <w:lang w:val="en-US" w:eastAsia="zh-CN"/>
              </w:rPr>
            </w:pPr>
            <w:r>
              <w:rPr>
                <w:rFonts w:hint="eastAsia"/>
                <w:bCs/>
                <w:szCs w:val="21"/>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690" w:type="dxa"/>
            <w:vMerge w:val="continue"/>
            <w:vAlign w:val="center"/>
          </w:tcPr>
          <w:p>
            <w:pPr>
              <w:snapToGrid w:val="0"/>
              <w:rPr>
                <w:sz w:val="24"/>
              </w:rPr>
            </w:pPr>
          </w:p>
        </w:tc>
        <w:tc>
          <w:tcPr>
            <w:tcW w:w="3530" w:type="dxa"/>
            <w:vAlign w:val="top"/>
          </w:tcPr>
          <w:p>
            <w:pPr>
              <w:rPr>
                <w:rFonts w:hint="eastAsia"/>
                <w:bCs/>
                <w:szCs w:val="21"/>
                <w:lang w:val="en-US" w:eastAsia="zh-CN"/>
              </w:rPr>
            </w:pPr>
            <w:r>
              <w:rPr>
                <w:rFonts w:hint="eastAsia"/>
                <w:bCs/>
                <w:szCs w:val="21"/>
                <w:lang w:val="en-US" w:eastAsia="zh-CN"/>
              </w:rPr>
              <w:t>淮阴工学院第四届青年教师课堂教学竞赛一等奖</w:t>
            </w:r>
          </w:p>
        </w:tc>
        <w:tc>
          <w:tcPr>
            <w:tcW w:w="1194" w:type="dxa"/>
            <w:vAlign w:val="top"/>
          </w:tcPr>
          <w:p>
            <w:pPr>
              <w:rPr>
                <w:rFonts w:hint="eastAsia"/>
                <w:bCs/>
                <w:szCs w:val="21"/>
                <w:lang w:val="en-US" w:eastAsia="zh-CN"/>
              </w:rPr>
            </w:pPr>
            <w:r>
              <w:rPr>
                <w:rFonts w:hint="eastAsia"/>
                <w:bCs/>
                <w:szCs w:val="21"/>
                <w:lang w:val="en-US" w:eastAsia="zh-CN"/>
              </w:rPr>
              <w:t>2007</w:t>
            </w:r>
          </w:p>
        </w:tc>
        <w:tc>
          <w:tcPr>
            <w:tcW w:w="2311" w:type="dxa"/>
            <w:vAlign w:val="top"/>
          </w:tcPr>
          <w:p>
            <w:pPr>
              <w:rPr>
                <w:rFonts w:hint="eastAsia"/>
                <w:bCs/>
                <w:szCs w:val="21"/>
                <w:lang w:val="en-US" w:eastAsia="zh-CN"/>
              </w:rPr>
            </w:pPr>
            <w:r>
              <w:rPr>
                <w:rFonts w:hint="eastAsia"/>
                <w:bCs/>
                <w:szCs w:val="21"/>
                <w:lang w:val="en-US" w:eastAsia="zh-CN"/>
              </w:rPr>
              <w:t>淮阴工学院</w:t>
            </w:r>
          </w:p>
        </w:tc>
        <w:tc>
          <w:tcPr>
            <w:tcW w:w="939" w:type="dxa"/>
            <w:vAlign w:val="top"/>
          </w:tcPr>
          <w:p>
            <w:pPr>
              <w:rPr>
                <w:rFonts w:hint="eastAsia"/>
                <w:bCs/>
                <w:szCs w:val="21"/>
                <w:lang w:val="en-US" w:eastAsia="zh-CN"/>
              </w:rPr>
            </w:pPr>
            <w:r>
              <w:rPr>
                <w:rFonts w:hint="eastAsia"/>
                <w:bCs/>
                <w:szCs w:val="21"/>
                <w:lang w:val="en-US" w:eastAsia="zh-CN"/>
              </w:rPr>
              <w:t>校级</w:t>
            </w:r>
          </w:p>
        </w:tc>
        <w:tc>
          <w:tcPr>
            <w:tcW w:w="1216" w:type="dxa"/>
            <w:vAlign w:val="top"/>
          </w:tcPr>
          <w:p>
            <w:pPr>
              <w:rPr>
                <w:rFonts w:hint="eastAsia"/>
                <w:bCs/>
                <w:szCs w:val="21"/>
                <w:lang w:val="en-US" w:eastAsia="zh-CN"/>
              </w:rPr>
            </w:pPr>
            <w:r>
              <w:rPr>
                <w:rFonts w:hint="eastAsia"/>
                <w:bCs/>
                <w:szCs w:val="21"/>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0" w:hRule="atLeast"/>
        </w:trPr>
        <w:tc>
          <w:tcPr>
            <w:tcW w:w="690" w:type="dxa"/>
            <w:vMerge w:val="continue"/>
            <w:vAlign w:val="center"/>
          </w:tcPr>
          <w:p>
            <w:pPr>
              <w:snapToGrid w:val="0"/>
              <w:rPr>
                <w:sz w:val="24"/>
              </w:rPr>
            </w:pPr>
          </w:p>
        </w:tc>
        <w:tc>
          <w:tcPr>
            <w:tcW w:w="3530" w:type="dxa"/>
            <w:vAlign w:val="top"/>
          </w:tcPr>
          <w:p>
            <w:pPr>
              <w:rPr>
                <w:rFonts w:hint="eastAsia"/>
                <w:bCs/>
                <w:szCs w:val="21"/>
                <w:lang w:val="en-US" w:eastAsia="zh-CN"/>
              </w:rPr>
            </w:pPr>
            <w:r>
              <w:rPr>
                <w:rFonts w:hint="eastAsia"/>
                <w:bCs/>
                <w:szCs w:val="21"/>
                <w:lang w:val="en-US" w:eastAsia="zh-CN"/>
              </w:rPr>
              <w:t>校“本科教学评建工作先进个人”</w:t>
            </w:r>
          </w:p>
        </w:tc>
        <w:tc>
          <w:tcPr>
            <w:tcW w:w="1194" w:type="dxa"/>
            <w:vAlign w:val="top"/>
          </w:tcPr>
          <w:p>
            <w:pPr>
              <w:rPr>
                <w:rFonts w:hint="eastAsia"/>
                <w:bCs/>
                <w:szCs w:val="21"/>
                <w:lang w:val="en-US" w:eastAsia="zh-CN"/>
              </w:rPr>
            </w:pPr>
            <w:r>
              <w:rPr>
                <w:rFonts w:hint="eastAsia"/>
                <w:bCs/>
                <w:szCs w:val="21"/>
                <w:lang w:val="en-US" w:eastAsia="zh-CN"/>
              </w:rPr>
              <w:t>2008</w:t>
            </w:r>
          </w:p>
        </w:tc>
        <w:tc>
          <w:tcPr>
            <w:tcW w:w="2311" w:type="dxa"/>
            <w:vAlign w:val="top"/>
          </w:tcPr>
          <w:p>
            <w:pPr>
              <w:rPr>
                <w:rFonts w:hint="eastAsia"/>
                <w:bCs/>
                <w:szCs w:val="21"/>
                <w:lang w:val="en-US" w:eastAsia="zh-CN"/>
              </w:rPr>
            </w:pPr>
            <w:r>
              <w:rPr>
                <w:rFonts w:hint="eastAsia"/>
                <w:bCs/>
                <w:szCs w:val="21"/>
                <w:lang w:val="en-US" w:eastAsia="zh-CN"/>
              </w:rPr>
              <w:t>淮阴工学院</w:t>
            </w:r>
          </w:p>
        </w:tc>
        <w:tc>
          <w:tcPr>
            <w:tcW w:w="939" w:type="dxa"/>
            <w:vAlign w:val="top"/>
          </w:tcPr>
          <w:p>
            <w:pPr>
              <w:rPr>
                <w:rFonts w:hint="eastAsia"/>
                <w:bCs/>
                <w:szCs w:val="21"/>
                <w:lang w:val="en-US" w:eastAsia="zh-CN"/>
              </w:rPr>
            </w:pPr>
            <w:r>
              <w:rPr>
                <w:rFonts w:hint="eastAsia"/>
                <w:bCs/>
                <w:szCs w:val="21"/>
                <w:lang w:val="en-US" w:eastAsia="zh-CN"/>
              </w:rPr>
              <w:t>校级</w:t>
            </w:r>
          </w:p>
        </w:tc>
        <w:tc>
          <w:tcPr>
            <w:tcW w:w="1216" w:type="dxa"/>
            <w:vAlign w:val="top"/>
          </w:tcPr>
          <w:p>
            <w:pPr>
              <w:rPr>
                <w:rFonts w:hint="eastAsia"/>
                <w:bCs/>
                <w:szCs w:val="21"/>
                <w:lang w:val="en-US" w:eastAsia="zh-CN"/>
              </w:rPr>
            </w:pPr>
            <w:r>
              <w:rPr>
                <w:rFonts w:hint="eastAsia"/>
                <w:bCs/>
                <w:szCs w:val="21"/>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690" w:type="dxa"/>
            <w:vMerge w:val="continue"/>
            <w:vAlign w:val="center"/>
          </w:tcPr>
          <w:p>
            <w:pPr>
              <w:snapToGrid w:val="0"/>
              <w:rPr>
                <w:sz w:val="24"/>
              </w:rPr>
            </w:pPr>
          </w:p>
        </w:tc>
        <w:tc>
          <w:tcPr>
            <w:tcW w:w="3530" w:type="dxa"/>
            <w:vAlign w:val="top"/>
          </w:tcPr>
          <w:p>
            <w:pPr>
              <w:rPr>
                <w:rFonts w:hint="eastAsia"/>
                <w:bCs/>
                <w:szCs w:val="21"/>
                <w:lang w:val="en-US" w:eastAsia="zh-CN"/>
              </w:rPr>
            </w:pPr>
            <w:r>
              <w:rPr>
                <w:rFonts w:hint="eastAsia"/>
                <w:bCs/>
                <w:szCs w:val="21"/>
                <w:lang w:val="en-US" w:eastAsia="zh-CN"/>
              </w:rPr>
              <w:t>淮安市“社区帮扶工作先进个人”</w:t>
            </w:r>
          </w:p>
        </w:tc>
        <w:tc>
          <w:tcPr>
            <w:tcW w:w="1194" w:type="dxa"/>
            <w:vAlign w:val="top"/>
          </w:tcPr>
          <w:p>
            <w:pPr>
              <w:rPr>
                <w:rFonts w:hint="eastAsia"/>
                <w:bCs/>
                <w:szCs w:val="21"/>
                <w:lang w:val="en-US" w:eastAsia="zh-CN"/>
              </w:rPr>
            </w:pPr>
            <w:r>
              <w:rPr>
                <w:rFonts w:hint="eastAsia"/>
                <w:bCs/>
                <w:szCs w:val="21"/>
                <w:lang w:val="en-US" w:eastAsia="zh-CN"/>
              </w:rPr>
              <w:t>2008</w:t>
            </w:r>
          </w:p>
        </w:tc>
        <w:tc>
          <w:tcPr>
            <w:tcW w:w="2311" w:type="dxa"/>
            <w:vAlign w:val="top"/>
          </w:tcPr>
          <w:p>
            <w:pPr>
              <w:rPr>
                <w:rFonts w:hint="eastAsia"/>
                <w:bCs/>
                <w:szCs w:val="21"/>
                <w:lang w:val="en-US" w:eastAsia="zh-CN"/>
              </w:rPr>
            </w:pPr>
            <w:r>
              <w:rPr>
                <w:rFonts w:hint="eastAsia"/>
                <w:bCs/>
                <w:szCs w:val="21"/>
                <w:lang w:val="en-US" w:eastAsia="zh-CN"/>
              </w:rPr>
              <w:t>淮安市市区城镇特困家庭帮扶工作领导小组</w:t>
            </w:r>
          </w:p>
        </w:tc>
        <w:tc>
          <w:tcPr>
            <w:tcW w:w="939" w:type="dxa"/>
            <w:vAlign w:val="top"/>
          </w:tcPr>
          <w:p>
            <w:pPr>
              <w:rPr>
                <w:rFonts w:hint="eastAsia"/>
                <w:bCs/>
                <w:szCs w:val="21"/>
                <w:lang w:val="en-US" w:eastAsia="zh-CN"/>
              </w:rPr>
            </w:pPr>
            <w:r>
              <w:rPr>
                <w:rFonts w:hint="eastAsia"/>
                <w:bCs/>
                <w:szCs w:val="21"/>
                <w:lang w:val="en-US" w:eastAsia="zh-CN"/>
              </w:rPr>
              <w:t>市级</w:t>
            </w:r>
          </w:p>
        </w:tc>
        <w:tc>
          <w:tcPr>
            <w:tcW w:w="1216" w:type="dxa"/>
            <w:vAlign w:val="top"/>
          </w:tcPr>
          <w:p>
            <w:pPr>
              <w:rPr>
                <w:rFonts w:hint="eastAsia"/>
                <w:bCs/>
                <w:szCs w:val="21"/>
                <w:lang w:val="en-US" w:eastAsia="zh-CN"/>
              </w:rPr>
            </w:pPr>
            <w:r>
              <w:rPr>
                <w:rFonts w:hint="eastAsia"/>
                <w:bCs/>
                <w:szCs w:val="21"/>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690" w:type="dxa"/>
            <w:vMerge w:val="continue"/>
            <w:vAlign w:val="center"/>
          </w:tcPr>
          <w:p>
            <w:pPr>
              <w:snapToGrid w:val="0"/>
              <w:rPr>
                <w:sz w:val="24"/>
              </w:rPr>
            </w:pPr>
          </w:p>
        </w:tc>
        <w:tc>
          <w:tcPr>
            <w:tcW w:w="3530" w:type="dxa"/>
            <w:vAlign w:val="top"/>
          </w:tcPr>
          <w:p>
            <w:pPr>
              <w:rPr>
                <w:rFonts w:hint="eastAsia"/>
                <w:bCs/>
                <w:szCs w:val="21"/>
                <w:lang w:val="en-US" w:eastAsia="zh-CN"/>
              </w:rPr>
            </w:pPr>
            <w:r>
              <w:rPr>
                <w:rFonts w:hint="eastAsia"/>
                <w:bCs/>
                <w:szCs w:val="21"/>
                <w:lang w:val="en-US" w:eastAsia="zh-CN"/>
              </w:rPr>
              <w:t>淮安市“优秀社区指导员”</w:t>
            </w:r>
          </w:p>
        </w:tc>
        <w:tc>
          <w:tcPr>
            <w:tcW w:w="1194" w:type="dxa"/>
            <w:vAlign w:val="top"/>
          </w:tcPr>
          <w:p>
            <w:pPr>
              <w:rPr>
                <w:rFonts w:hint="eastAsia"/>
                <w:bCs/>
                <w:szCs w:val="21"/>
                <w:lang w:val="en-US" w:eastAsia="zh-CN"/>
              </w:rPr>
            </w:pPr>
            <w:r>
              <w:rPr>
                <w:rFonts w:hint="eastAsia"/>
                <w:bCs/>
                <w:szCs w:val="21"/>
                <w:lang w:val="en-US" w:eastAsia="zh-CN"/>
              </w:rPr>
              <w:t>2008</w:t>
            </w:r>
          </w:p>
        </w:tc>
        <w:tc>
          <w:tcPr>
            <w:tcW w:w="2311" w:type="dxa"/>
            <w:vAlign w:val="top"/>
          </w:tcPr>
          <w:p>
            <w:pPr>
              <w:rPr>
                <w:rFonts w:hint="eastAsia"/>
                <w:bCs/>
                <w:szCs w:val="21"/>
                <w:lang w:val="en-US" w:eastAsia="zh-CN"/>
              </w:rPr>
            </w:pPr>
            <w:r>
              <w:rPr>
                <w:rFonts w:hint="eastAsia"/>
                <w:bCs/>
                <w:szCs w:val="21"/>
                <w:lang w:val="en-US" w:eastAsia="zh-CN"/>
              </w:rPr>
              <w:t>淮安市社区党建与社区建设工作领导小组</w:t>
            </w:r>
          </w:p>
        </w:tc>
        <w:tc>
          <w:tcPr>
            <w:tcW w:w="939" w:type="dxa"/>
            <w:vAlign w:val="top"/>
          </w:tcPr>
          <w:p>
            <w:pPr>
              <w:rPr>
                <w:rFonts w:hint="eastAsia"/>
                <w:bCs/>
                <w:szCs w:val="21"/>
                <w:lang w:val="en-US" w:eastAsia="zh-CN"/>
              </w:rPr>
            </w:pPr>
            <w:r>
              <w:rPr>
                <w:rFonts w:hint="eastAsia"/>
                <w:bCs/>
                <w:szCs w:val="21"/>
                <w:lang w:val="en-US" w:eastAsia="zh-CN"/>
              </w:rPr>
              <w:t>市级</w:t>
            </w:r>
          </w:p>
        </w:tc>
        <w:tc>
          <w:tcPr>
            <w:tcW w:w="1216" w:type="dxa"/>
            <w:vAlign w:val="top"/>
          </w:tcPr>
          <w:p>
            <w:pPr>
              <w:rPr>
                <w:rFonts w:hint="eastAsia"/>
                <w:bCs/>
                <w:szCs w:val="21"/>
                <w:lang w:val="en-US" w:eastAsia="zh-CN"/>
              </w:rPr>
            </w:pPr>
            <w:r>
              <w:rPr>
                <w:rFonts w:hint="eastAsia"/>
                <w:bCs/>
                <w:szCs w:val="21"/>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0" w:hRule="atLeast"/>
        </w:trPr>
        <w:tc>
          <w:tcPr>
            <w:tcW w:w="690" w:type="dxa"/>
            <w:vMerge w:val="continue"/>
            <w:vAlign w:val="center"/>
          </w:tcPr>
          <w:p>
            <w:pPr>
              <w:snapToGrid w:val="0"/>
              <w:rPr>
                <w:sz w:val="24"/>
              </w:rPr>
            </w:pPr>
          </w:p>
        </w:tc>
        <w:tc>
          <w:tcPr>
            <w:tcW w:w="3530" w:type="dxa"/>
            <w:vAlign w:val="top"/>
          </w:tcPr>
          <w:p>
            <w:pPr>
              <w:rPr>
                <w:rFonts w:hint="eastAsia"/>
                <w:bCs/>
                <w:szCs w:val="21"/>
                <w:lang w:val="en-US" w:eastAsia="zh-CN"/>
              </w:rPr>
            </w:pPr>
            <w:r>
              <w:rPr>
                <w:rFonts w:hint="eastAsia"/>
                <w:bCs/>
                <w:szCs w:val="21"/>
                <w:lang w:val="en-US" w:eastAsia="zh-CN"/>
              </w:rPr>
              <w:t>淮阴工学院“师德标兵”</w:t>
            </w:r>
          </w:p>
        </w:tc>
        <w:tc>
          <w:tcPr>
            <w:tcW w:w="1194" w:type="dxa"/>
            <w:vAlign w:val="top"/>
          </w:tcPr>
          <w:p>
            <w:pPr>
              <w:rPr>
                <w:rFonts w:hint="eastAsia"/>
                <w:bCs/>
                <w:szCs w:val="21"/>
                <w:lang w:val="en-US" w:eastAsia="zh-CN"/>
              </w:rPr>
            </w:pPr>
            <w:r>
              <w:rPr>
                <w:rFonts w:hint="eastAsia"/>
                <w:bCs/>
                <w:szCs w:val="21"/>
                <w:lang w:val="en-US" w:eastAsia="zh-CN"/>
              </w:rPr>
              <w:t>2009</w:t>
            </w:r>
          </w:p>
        </w:tc>
        <w:tc>
          <w:tcPr>
            <w:tcW w:w="2311" w:type="dxa"/>
            <w:vAlign w:val="top"/>
          </w:tcPr>
          <w:p>
            <w:pPr>
              <w:rPr>
                <w:rFonts w:hint="eastAsia"/>
                <w:bCs/>
                <w:szCs w:val="21"/>
                <w:lang w:val="en-US" w:eastAsia="zh-CN"/>
              </w:rPr>
            </w:pPr>
            <w:r>
              <w:rPr>
                <w:rFonts w:hint="eastAsia"/>
                <w:bCs/>
                <w:szCs w:val="21"/>
                <w:lang w:val="en-US" w:eastAsia="zh-CN"/>
              </w:rPr>
              <w:t>淮阴工学院</w:t>
            </w:r>
          </w:p>
        </w:tc>
        <w:tc>
          <w:tcPr>
            <w:tcW w:w="939" w:type="dxa"/>
            <w:vAlign w:val="top"/>
          </w:tcPr>
          <w:p>
            <w:pPr>
              <w:rPr>
                <w:rFonts w:hint="eastAsia"/>
                <w:bCs/>
                <w:szCs w:val="21"/>
                <w:lang w:val="en-US" w:eastAsia="zh-CN"/>
              </w:rPr>
            </w:pPr>
            <w:r>
              <w:rPr>
                <w:rFonts w:hint="eastAsia"/>
                <w:bCs/>
                <w:szCs w:val="21"/>
                <w:lang w:val="en-US" w:eastAsia="zh-CN"/>
              </w:rPr>
              <w:t>校级</w:t>
            </w:r>
          </w:p>
        </w:tc>
        <w:tc>
          <w:tcPr>
            <w:tcW w:w="1216" w:type="dxa"/>
            <w:vAlign w:val="top"/>
          </w:tcPr>
          <w:p>
            <w:pPr>
              <w:rPr>
                <w:rFonts w:hint="eastAsia"/>
                <w:bCs/>
                <w:szCs w:val="21"/>
                <w:lang w:val="en-US" w:eastAsia="zh-CN"/>
              </w:rPr>
            </w:pPr>
            <w:r>
              <w:rPr>
                <w:rFonts w:hint="eastAsia"/>
                <w:bCs/>
                <w:szCs w:val="21"/>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0" w:hRule="atLeast"/>
        </w:trPr>
        <w:tc>
          <w:tcPr>
            <w:tcW w:w="690" w:type="dxa"/>
            <w:vMerge w:val="continue"/>
            <w:vAlign w:val="center"/>
          </w:tcPr>
          <w:p>
            <w:pPr>
              <w:snapToGrid w:val="0"/>
              <w:rPr>
                <w:sz w:val="24"/>
              </w:rPr>
            </w:pPr>
          </w:p>
        </w:tc>
        <w:tc>
          <w:tcPr>
            <w:tcW w:w="3530" w:type="dxa"/>
            <w:vAlign w:val="top"/>
          </w:tcPr>
          <w:p>
            <w:pPr>
              <w:rPr>
                <w:rFonts w:hint="eastAsia"/>
                <w:bCs/>
                <w:szCs w:val="21"/>
                <w:lang w:val="en-US" w:eastAsia="zh-CN"/>
              </w:rPr>
            </w:pPr>
            <w:r>
              <w:rPr>
                <w:rFonts w:hint="eastAsia"/>
                <w:bCs/>
                <w:szCs w:val="21"/>
                <w:lang w:val="en-US" w:eastAsia="zh-CN"/>
              </w:rPr>
              <w:t>淮阴工学院优秀毕业论文指导老师</w:t>
            </w:r>
          </w:p>
        </w:tc>
        <w:tc>
          <w:tcPr>
            <w:tcW w:w="1194" w:type="dxa"/>
            <w:vAlign w:val="top"/>
          </w:tcPr>
          <w:p>
            <w:pPr>
              <w:rPr>
                <w:rFonts w:hint="eastAsia"/>
                <w:bCs/>
                <w:szCs w:val="21"/>
                <w:lang w:val="en-US" w:eastAsia="zh-CN"/>
              </w:rPr>
            </w:pPr>
            <w:r>
              <w:rPr>
                <w:rFonts w:hint="eastAsia"/>
                <w:bCs/>
                <w:szCs w:val="21"/>
                <w:lang w:val="en-US" w:eastAsia="zh-CN"/>
              </w:rPr>
              <w:t>2010</w:t>
            </w:r>
          </w:p>
        </w:tc>
        <w:tc>
          <w:tcPr>
            <w:tcW w:w="2311" w:type="dxa"/>
            <w:vAlign w:val="top"/>
          </w:tcPr>
          <w:p>
            <w:pPr>
              <w:rPr>
                <w:rFonts w:hint="eastAsia"/>
                <w:bCs/>
                <w:szCs w:val="21"/>
                <w:lang w:val="en-US" w:eastAsia="zh-CN"/>
              </w:rPr>
            </w:pPr>
            <w:r>
              <w:rPr>
                <w:rFonts w:hint="eastAsia"/>
                <w:bCs/>
                <w:szCs w:val="21"/>
                <w:lang w:val="en-US" w:eastAsia="zh-CN"/>
              </w:rPr>
              <w:t>淮阴工学院</w:t>
            </w:r>
          </w:p>
        </w:tc>
        <w:tc>
          <w:tcPr>
            <w:tcW w:w="939" w:type="dxa"/>
            <w:vAlign w:val="top"/>
          </w:tcPr>
          <w:p>
            <w:pPr>
              <w:rPr>
                <w:rFonts w:hint="eastAsia"/>
                <w:bCs/>
                <w:szCs w:val="21"/>
                <w:lang w:val="en-US" w:eastAsia="zh-CN"/>
              </w:rPr>
            </w:pPr>
            <w:r>
              <w:rPr>
                <w:rFonts w:hint="eastAsia"/>
                <w:bCs/>
                <w:szCs w:val="21"/>
                <w:lang w:val="en-US" w:eastAsia="zh-CN"/>
              </w:rPr>
              <w:t>校级</w:t>
            </w:r>
          </w:p>
        </w:tc>
        <w:tc>
          <w:tcPr>
            <w:tcW w:w="1216" w:type="dxa"/>
            <w:vAlign w:val="top"/>
          </w:tcPr>
          <w:p>
            <w:pPr>
              <w:rPr>
                <w:rFonts w:hint="eastAsia"/>
                <w:bCs/>
                <w:szCs w:val="21"/>
                <w:lang w:val="en-US" w:eastAsia="zh-CN"/>
              </w:rPr>
            </w:pPr>
            <w:r>
              <w:rPr>
                <w:rFonts w:hint="eastAsia"/>
                <w:bCs/>
                <w:szCs w:val="21"/>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0" w:hRule="atLeast"/>
        </w:trPr>
        <w:tc>
          <w:tcPr>
            <w:tcW w:w="690" w:type="dxa"/>
            <w:vMerge w:val="continue"/>
            <w:vAlign w:val="center"/>
          </w:tcPr>
          <w:p>
            <w:pPr>
              <w:snapToGrid w:val="0"/>
              <w:rPr>
                <w:sz w:val="24"/>
              </w:rPr>
            </w:pPr>
          </w:p>
        </w:tc>
        <w:tc>
          <w:tcPr>
            <w:tcW w:w="3530" w:type="dxa"/>
            <w:vAlign w:val="top"/>
          </w:tcPr>
          <w:p>
            <w:pPr>
              <w:rPr>
                <w:rFonts w:hint="eastAsia"/>
                <w:bCs/>
                <w:szCs w:val="21"/>
                <w:lang w:val="en-US" w:eastAsia="zh-CN"/>
              </w:rPr>
            </w:pPr>
            <w:r>
              <w:rPr>
                <w:rFonts w:hint="eastAsia"/>
                <w:bCs/>
                <w:szCs w:val="21"/>
                <w:lang w:val="en-US" w:eastAsia="zh-CN"/>
              </w:rPr>
              <w:t>淮阴工学院“大学生最喜爱的老师”</w:t>
            </w:r>
          </w:p>
        </w:tc>
        <w:tc>
          <w:tcPr>
            <w:tcW w:w="1194" w:type="dxa"/>
            <w:vAlign w:val="top"/>
          </w:tcPr>
          <w:p>
            <w:pPr>
              <w:rPr>
                <w:rFonts w:hint="eastAsia"/>
                <w:bCs/>
                <w:szCs w:val="21"/>
                <w:lang w:val="en-US" w:eastAsia="zh-CN"/>
              </w:rPr>
            </w:pPr>
            <w:r>
              <w:rPr>
                <w:rFonts w:hint="eastAsia"/>
                <w:bCs/>
                <w:szCs w:val="21"/>
                <w:lang w:val="en-US" w:eastAsia="zh-CN"/>
              </w:rPr>
              <w:t>2011</w:t>
            </w:r>
          </w:p>
        </w:tc>
        <w:tc>
          <w:tcPr>
            <w:tcW w:w="2311" w:type="dxa"/>
            <w:vAlign w:val="top"/>
          </w:tcPr>
          <w:p>
            <w:pPr>
              <w:rPr>
                <w:rFonts w:hint="eastAsia"/>
                <w:bCs/>
                <w:szCs w:val="21"/>
                <w:lang w:val="en-US" w:eastAsia="zh-CN"/>
              </w:rPr>
            </w:pPr>
            <w:r>
              <w:rPr>
                <w:rFonts w:hint="eastAsia"/>
                <w:bCs/>
                <w:szCs w:val="21"/>
                <w:lang w:val="en-US" w:eastAsia="zh-CN"/>
              </w:rPr>
              <w:t>淮阴工学院</w:t>
            </w:r>
          </w:p>
        </w:tc>
        <w:tc>
          <w:tcPr>
            <w:tcW w:w="939" w:type="dxa"/>
            <w:vAlign w:val="top"/>
          </w:tcPr>
          <w:p>
            <w:pPr>
              <w:rPr>
                <w:rFonts w:hint="eastAsia"/>
                <w:bCs/>
                <w:szCs w:val="21"/>
                <w:lang w:val="en-US" w:eastAsia="zh-CN"/>
              </w:rPr>
            </w:pPr>
            <w:r>
              <w:rPr>
                <w:rFonts w:hint="eastAsia"/>
                <w:bCs/>
                <w:szCs w:val="21"/>
                <w:lang w:val="en-US" w:eastAsia="zh-CN"/>
              </w:rPr>
              <w:t>校级</w:t>
            </w:r>
          </w:p>
        </w:tc>
        <w:tc>
          <w:tcPr>
            <w:tcW w:w="1216" w:type="dxa"/>
            <w:vAlign w:val="top"/>
          </w:tcPr>
          <w:p>
            <w:pPr>
              <w:rPr>
                <w:rFonts w:hint="eastAsia"/>
                <w:bCs/>
                <w:szCs w:val="21"/>
                <w:lang w:val="en-US" w:eastAsia="zh-CN"/>
              </w:rPr>
            </w:pPr>
            <w:r>
              <w:rPr>
                <w:rFonts w:hint="eastAsia"/>
                <w:bCs/>
                <w:szCs w:val="21"/>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0" w:hRule="atLeast"/>
        </w:trPr>
        <w:tc>
          <w:tcPr>
            <w:tcW w:w="690" w:type="dxa"/>
            <w:vMerge w:val="continue"/>
            <w:vAlign w:val="center"/>
          </w:tcPr>
          <w:p>
            <w:pPr>
              <w:snapToGrid w:val="0"/>
              <w:rPr>
                <w:sz w:val="24"/>
              </w:rPr>
            </w:pPr>
          </w:p>
        </w:tc>
        <w:tc>
          <w:tcPr>
            <w:tcW w:w="3530" w:type="dxa"/>
            <w:vAlign w:val="top"/>
          </w:tcPr>
          <w:p>
            <w:pPr>
              <w:rPr>
                <w:rFonts w:hint="eastAsia"/>
                <w:bCs/>
                <w:szCs w:val="21"/>
                <w:lang w:val="en-US" w:eastAsia="zh-CN"/>
              </w:rPr>
            </w:pPr>
            <w:r>
              <w:rPr>
                <w:rFonts w:hint="eastAsia"/>
                <w:bCs/>
                <w:szCs w:val="21"/>
                <w:lang w:val="en-US" w:eastAsia="zh-CN"/>
              </w:rPr>
              <w:t>民政部农村社区建设理论研究三等奖</w:t>
            </w:r>
          </w:p>
        </w:tc>
        <w:tc>
          <w:tcPr>
            <w:tcW w:w="1194" w:type="dxa"/>
            <w:vAlign w:val="top"/>
          </w:tcPr>
          <w:p>
            <w:pPr>
              <w:rPr>
                <w:rFonts w:hint="eastAsia"/>
                <w:bCs/>
                <w:szCs w:val="21"/>
                <w:lang w:val="en-US" w:eastAsia="zh-CN"/>
              </w:rPr>
            </w:pPr>
            <w:r>
              <w:rPr>
                <w:rFonts w:hint="eastAsia"/>
                <w:bCs/>
                <w:szCs w:val="21"/>
                <w:lang w:val="en-US" w:eastAsia="zh-CN"/>
              </w:rPr>
              <w:t>2012</w:t>
            </w:r>
          </w:p>
        </w:tc>
        <w:tc>
          <w:tcPr>
            <w:tcW w:w="2311" w:type="dxa"/>
            <w:vAlign w:val="top"/>
          </w:tcPr>
          <w:p>
            <w:pPr>
              <w:rPr>
                <w:rFonts w:hint="eastAsia"/>
                <w:bCs/>
                <w:szCs w:val="21"/>
                <w:lang w:val="en-US" w:eastAsia="zh-CN"/>
              </w:rPr>
            </w:pPr>
            <w:r>
              <w:rPr>
                <w:rFonts w:hint="eastAsia"/>
                <w:bCs/>
                <w:szCs w:val="21"/>
                <w:lang w:val="en-US" w:eastAsia="zh-CN"/>
              </w:rPr>
              <w:t>中华人民共和国民政部</w:t>
            </w:r>
          </w:p>
        </w:tc>
        <w:tc>
          <w:tcPr>
            <w:tcW w:w="939" w:type="dxa"/>
            <w:vAlign w:val="top"/>
          </w:tcPr>
          <w:p>
            <w:pPr>
              <w:rPr>
                <w:rFonts w:hint="eastAsia"/>
                <w:bCs/>
                <w:szCs w:val="21"/>
                <w:lang w:val="en-US" w:eastAsia="zh-CN"/>
              </w:rPr>
            </w:pPr>
            <w:r>
              <w:rPr>
                <w:rFonts w:hint="eastAsia"/>
                <w:bCs/>
                <w:szCs w:val="21"/>
                <w:lang w:val="en-US" w:eastAsia="zh-CN"/>
              </w:rPr>
              <w:t>部级</w:t>
            </w:r>
          </w:p>
        </w:tc>
        <w:tc>
          <w:tcPr>
            <w:tcW w:w="1216" w:type="dxa"/>
            <w:vAlign w:val="top"/>
          </w:tcPr>
          <w:p>
            <w:pPr>
              <w:rPr>
                <w:rFonts w:hint="eastAsia"/>
                <w:bCs/>
                <w:szCs w:val="21"/>
                <w:lang w:val="en-US" w:eastAsia="zh-CN"/>
              </w:rPr>
            </w:pPr>
            <w:r>
              <w:rPr>
                <w:rFonts w:hint="eastAsia"/>
                <w:bCs/>
                <w:szCs w:val="21"/>
                <w:lang w:val="en-US" w:eastAsia="zh-C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0" w:hRule="atLeast"/>
        </w:trPr>
        <w:tc>
          <w:tcPr>
            <w:tcW w:w="690" w:type="dxa"/>
            <w:vMerge w:val="continue"/>
            <w:vAlign w:val="center"/>
          </w:tcPr>
          <w:p>
            <w:pPr>
              <w:snapToGrid w:val="0"/>
              <w:rPr>
                <w:sz w:val="24"/>
              </w:rPr>
            </w:pPr>
          </w:p>
        </w:tc>
        <w:tc>
          <w:tcPr>
            <w:tcW w:w="3530" w:type="dxa"/>
            <w:vAlign w:val="top"/>
          </w:tcPr>
          <w:p>
            <w:pPr>
              <w:rPr>
                <w:rFonts w:hint="eastAsia"/>
                <w:bCs/>
                <w:szCs w:val="21"/>
                <w:lang w:val="en-US" w:eastAsia="zh-CN"/>
              </w:rPr>
            </w:pPr>
            <w:r>
              <w:rPr>
                <w:rFonts w:hint="eastAsia"/>
                <w:bCs/>
                <w:szCs w:val="21"/>
                <w:lang w:val="en-US" w:eastAsia="zh-CN"/>
              </w:rPr>
              <w:t>淮阴工学院优秀毕业论文指导老师</w:t>
            </w:r>
          </w:p>
        </w:tc>
        <w:tc>
          <w:tcPr>
            <w:tcW w:w="1194" w:type="dxa"/>
            <w:vAlign w:val="top"/>
          </w:tcPr>
          <w:p>
            <w:pPr>
              <w:rPr>
                <w:rFonts w:hint="eastAsia"/>
                <w:bCs/>
                <w:szCs w:val="21"/>
                <w:lang w:val="en-US" w:eastAsia="zh-CN"/>
              </w:rPr>
            </w:pPr>
            <w:r>
              <w:rPr>
                <w:rFonts w:hint="eastAsia"/>
                <w:bCs/>
                <w:szCs w:val="21"/>
                <w:lang w:val="en-US" w:eastAsia="zh-CN"/>
              </w:rPr>
              <w:t>2013</w:t>
            </w:r>
          </w:p>
        </w:tc>
        <w:tc>
          <w:tcPr>
            <w:tcW w:w="2311" w:type="dxa"/>
            <w:vAlign w:val="top"/>
          </w:tcPr>
          <w:p>
            <w:pPr>
              <w:rPr>
                <w:rFonts w:hint="eastAsia"/>
                <w:bCs/>
                <w:szCs w:val="21"/>
                <w:lang w:val="en-US" w:eastAsia="zh-CN"/>
              </w:rPr>
            </w:pPr>
            <w:r>
              <w:rPr>
                <w:rFonts w:hint="eastAsia"/>
                <w:bCs/>
                <w:szCs w:val="21"/>
                <w:lang w:val="en-US" w:eastAsia="zh-CN"/>
              </w:rPr>
              <w:t>淮阴工学院</w:t>
            </w:r>
          </w:p>
        </w:tc>
        <w:tc>
          <w:tcPr>
            <w:tcW w:w="939" w:type="dxa"/>
            <w:vAlign w:val="top"/>
          </w:tcPr>
          <w:p>
            <w:pPr>
              <w:rPr>
                <w:rFonts w:hint="eastAsia"/>
                <w:bCs/>
                <w:szCs w:val="21"/>
                <w:lang w:val="en-US" w:eastAsia="zh-CN"/>
              </w:rPr>
            </w:pPr>
            <w:r>
              <w:rPr>
                <w:rFonts w:hint="eastAsia"/>
                <w:bCs/>
                <w:szCs w:val="21"/>
                <w:lang w:val="en-US" w:eastAsia="zh-CN"/>
              </w:rPr>
              <w:t>校级</w:t>
            </w:r>
          </w:p>
        </w:tc>
        <w:tc>
          <w:tcPr>
            <w:tcW w:w="1216" w:type="dxa"/>
            <w:vAlign w:val="top"/>
          </w:tcPr>
          <w:p>
            <w:pPr>
              <w:rPr>
                <w:rFonts w:hint="eastAsia"/>
                <w:bCs/>
                <w:szCs w:val="21"/>
                <w:lang w:val="en-US" w:eastAsia="zh-CN"/>
              </w:rPr>
            </w:pPr>
            <w:r>
              <w:rPr>
                <w:rFonts w:hint="eastAsia"/>
                <w:bCs/>
                <w:szCs w:val="21"/>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0" w:hRule="atLeast"/>
        </w:trPr>
        <w:tc>
          <w:tcPr>
            <w:tcW w:w="690" w:type="dxa"/>
            <w:vMerge w:val="continue"/>
            <w:vAlign w:val="center"/>
          </w:tcPr>
          <w:p>
            <w:pPr>
              <w:snapToGrid w:val="0"/>
              <w:rPr>
                <w:sz w:val="24"/>
              </w:rPr>
            </w:pPr>
          </w:p>
        </w:tc>
        <w:tc>
          <w:tcPr>
            <w:tcW w:w="3530" w:type="dxa"/>
            <w:vAlign w:val="top"/>
          </w:tcPr>
          <w:p>
            <w:pPr>
              <w:rPr>
                <w:rFonts w:hint="eastAsia"/>
                <w:bCs/>
                <w:szCs w:val="21"/>
                <w:lang w:val="en-US" w:eastAsia="zh-CN"/>
              </w:rPr>
            </w:pPr>
            <w:r>
              <w:rPr>
                <w:rFonts w:hint="eastAsia"/>
                <w:bCs/>
                <w:szCs w:val="21"/>
                <w:lang w:val="en-US" w:eastAsia="zh-CN"/>
              </w:rPr>
              <w:t>淮阴工学院微课教学竞赛二等奖</w:t>
            </w:r>
          </w:p>
        </w:tc>
        <w:tc>
          <w:tcPr>
            <w:tcW w:w="1194" w:type="dxa"/>
            <w:vAlign w:val="top"/>
          </w:tcPr>
          <w:p>
            <w:pPr>
              <w:rPr>
                <w:rFonts w:hint="eastAsia"/>
                <w:bCs/>
                <w:szCs w:val="21"/>
                <w:lang w:val="en-US" w:eastAsia="zh-CN"/>
              </w:rPr>
            </w:pPr>
            <w:r>
              <w:rPr>
                <w:rFonts w:hint="eastAsia"/>
                <w:bCs/>
                <w:szCs w:val="21"/>
                <w:lang w:val="en-US" w:eastAsia="zh-CN"/>
              </w:rPr>
              <w:t>2013</w:t>
            </w:r>
          </w:p>
        </w:tc>
        <w:tc>
          <w:tcPr>
            <w:tcW w:w="2311" w:type="dxa"/>
            <w:vAlign w:val="top"/>
          </w:tcPr>
          <w:p>
            <w:pPr>
              <w:rPr>
                <w:rFonts w:hint="eastAsia"/>
                <w:bCs/>
                <w:szCs w:val="21"/>
                <w:lang w:val="en-US" w:eastAsia="zh-CN"/>
              </w:rPr>
            </w:pPr>
            <w:r>
              <w:rPr>
                <w:rFonts w:hint="eastAsia"/>
                <w:bCs/>
                <w:szCs w:val="21"/>
                <w:lang w:val="en-US" w:eastAsia="zh-CN"/>
              </w:rPr>
              <w:t>淮阴工学院</w:t>
            </w:r>
          </w:p>
        </w:tc>
        <w:tc>
          <w:tcPr>
            <w:tcW w:w="939" w:type="dxa"/>
            <w:vAlign w:val="top"/>
          </w:tcPr>
          <w:p>
            <w:pPr>
              <w:rPr>
                <w:rFonts w:hint="eastAsia"/>
                <w:bCs/>
                <w:szCs w:val="21"/>
                <w:lang w:val="en-US" w:eastAsia="zh-CN"/>
              </w:rPr>
            </w:pPr>
            <w:r>
              <w:rPr>
                <w:rFonts w:hint="eastAsia"/>
                <w:bCs/>
                <w:szCs w:val="21"/>
                <w:lang w:val="en-US" w:eastAsia="zh-CN"/>
              </w:rPr>
              <w:t>校级</w:t>
            </w:r>
          </w:p>
        </w:tc>
        <w:tc>
          <w:tcPr>
            <w:tcW w:w="1216" w:type="dxa"/>
            <w:vAlign w:val="top"/>
          </w:tcPr>
          <w:p>
            <w:pPr>
              <w:rPr>
                <w:rFonts w:hint="eastAsia"/>
                <w:bCs/>
                <w:szCs w:val="21"/>
                <w:lang w:val="en-US" w:eastAsia="zh-CN"/>
              </w:rPr>
            </w:pPr>
            <w:r>
              <w:rPr>
                <w:rFonts w:hint="eastAsia"/>
                <w:bCs/>
                <w:szCs w:val="21"/>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0" w:hRule="atLeast"/>
        </w:trPr>
        <w:tc>
          <w:tcPr>
            <w:tcW w:w="690" w:type="dxa"/>
            <w:vMerge w:val="continue"/>
            <w:vAlign w:val="center"/>
          </w:tcPr>
          <w:p>
            <w:pPr>
              <w:snapToGrid w:val="0"/>
              <w:rPr>
                <w:sz w:val="24"/>
              </w:rPr>
            </w:pPr>
          </w:p>
        </w:tc>
        <w:tc>
          <w:tcPr>
            <w:tcW w:w="3530" w:type="dxa"/>
            <w:vAlign w:val="top"/>
          </w:tcPr>
          <w:p>
            <w:pPr>
              <w:rPr>
                <w:rFonts w:hint="eastAsia"/>
                <w:bCs/>
                <w:szCs w:val="21"/>
                <w:lang w:val="en-US" w:eastAsia="zh-CN"/>
              </w:rPr>
            </w:pPr>
            <w:r>
              <w:rPr>
                <w:rFonts w:hint="eastAsia"/>
                <w:bCs/>
                <w:szCs w:val="21"/>
                <w:lang w:val="en-US" w:eastAsia="zh-CN"/>
              </w:rPr>
              <w:t>江苏省高校微课教学比赛三等奖</w:t>
            </w:r>
          </w:p>
        </w:tc>
        <w:tc>
          <w:tcPr>
            <w:tcW w:w="1194" w:type="dxa"/>
            <w:vAlign w:val="top"/>
          </w:tcPr>
          <w:p>
            <w:pPr>
              <w:rPr>
                <w:rFonts w:hint="eastAsia"/>
                <w:bCs/>
                <w:szCs w:val="21"/>
                <w:lang w:val="en-US" w:eastAsia="zh-CN"/>
              </w:rPr>
            </w:pPr>
            <w:r>
              <w:rPr>
                <w:rFonts w:hint="eastAsia"/>
                <w:bCs/>
                <w:szCs w:val="21"/>
                <w:lang w:val="en-US" w:eastAsia="zh-CN"/>
              </w:rPr>
              <w:t>2013</w:t>
            </w:r>
          </w:p>
        </w:tc>
        <w:tc>
          <w:tcPr>
            <w:tcW w:w="2311" w:type="dxa"/>
            <w:vAlign w:val="top"/>
          </w:tcPr>
          <w:p>
            <w:pPr>
              <w:rPr>
                <w:rFonts w:hint="eastAsia"/>
                <w:bCs/>
                <w:szCs w:val="21"/>
                <w:lang w:val="en-US" w:eastAsia="zh-CN"/>
              </w:rPr>
            </w:pPr>
            <w:r>
              <w:rPr>
                <w:rFonts w:hint="eastAsia"/>
                <w:bCs/>
                <w:szCs w:val="21"/>
                <w:lang w:val="en-US" w:eastAsia="zh-CN"/>
              </w:rPr>
              <w:t>江苏省教育厅</w:t>
            </w:r>
          </w:p>
        </w:tc>
        <w:tc>
          <w:tcPr>
            <w:tcW w:w="939" w:type="dxa"/>
            <w:vAlign w:val="top"/>
          </w:tcPr>
          <w:p>
            <w:pPr>
              <w:rPr>
                <w:rFonts w:hint="eastAsia"/>
                <w:bCs/>
                <w:szCs w:val="21"/>
                <w:lang w:val="en-US" w:eastAsia="zh-CN"/>
              </w:rPr>
            </w:pPr>
            <w:r>
              <w:rPr>
                <w:rFonts w:hint="eastAsia"/>
                <w:bCs/>
                <w:szCs w:val="21"/>
                <w:lang w:val="en-US" w:eastAsia="zh-CN"/>
              </w:rPr>
              <w:t>省级</w:t>
            </w:r>
          </w:p>
        </w:tc>
        <w:tc>
          <w:tcPr>
            <w:tcW w:w="1216" w:type="dxa"/>
            <w:vAlign w:val="top"/>
          </w:tcPr>
          <w:p>
            <w:pPr>
              <w:rPr>
                <w:rFonts w:hint="eastAsia"/>
                <w:bCs/>
                <w:szCs w:val="21"/>
                <w:lang w:val="en-US" w:eastAsia="zh-CN"/>
              </w:rPr>
            </w:pPr>
            <w:r>
              <w:rPr>
                <w:rFonts w:hint="eastAsia"/>
                <w:bCs/>
                <w:szCs w:val="21"/>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690" w:type="dxa"/>
            <w:vMerge w:val="continue"/>
            <w:vAlign w:val="center"/>
          </w:tcPr>
          <w:p>
            <w:pPr>
              <w:snapToGrid w:val="0"/>
              <w:rPr>
                <w:sz w:val="24"/>
              </w:rPr>
            </w:pPr>
          </w:p>
        </w:tc>
        <w:tc>
          <w:tcPr>
            <w:tcW w:w="3530" w:type="dxa"/>
            <w:vAlign w:val="top"/>
          </w:tcPr>
          <w:p>
            <w:pPr>
              <w:rPr>
                <w:rFonts w:hint="eastAsia"/>
                <w:bCs/>
                <w:szCs w:val="21"/>
                <w:lang w:val="en-US" w:eastAsia="zh-CN"/>
              </w:rPr>
            </w:pPr>
            <w:r>
              <w:rPr>
                <w:rFonts w:hint="eastAsia"/>
                <w:bCs/>
                <w:szCs w:val="21"/>
                <w:lang w:val="en-US" w:eastAsia="zh-CN"/>
              </w:rPr>
              <w:t>江苏省本科高校青年教师教学竞赛二等奖</w:t>
            </w:r>
          </w:p>
        </w:tc>
        <w:tc>
          <w:tcPr>
            <w:tcW w:w="1194" w:type="dxa"/>
            <w:vAlign w:val="top"/>
          </w:tcPr>
          <w:p>
            <w:pPr>
              <w:rPr>
                <w:rFonts w:hint="eastAsia"/>
                <w:bCs/>
                <w:szCs w:val="21"/>
                <w:lang w:val="en-US" w:eastAsia="zh-CN"/>
              </w:rPr>
            </w:pPr>
            <w:r>
              <w:rPr>
                <w:rFonts w:hint="eastAsia"/>
                <w:bCs/>
                <w:szCs w:val="21"/>
                <w:lang w:val="en-US" w:eastAsia="zh-CN"/>
              </w:rPr>
              <w:t>2014</w:t>
            </w:r>
          </w:p>
        </w:tc>
        <w:tc>
          <w:tcPr>
            <w:tcW w:w="2311" w:type="dxa"/>
            <w:vAlign w:val="top"/>
          </w:tcPr>
          <w:p>
            <w:pPr>
              <w:rPr>
                <w:rFonts w:hint="eastAsia"/>
                <w:bCs/>
                <w:szCs w:val="21"/>
                <w:lang w:val="en-US" w:eastAsia="zh-CN"/>
              </w:rPr>
            </w:pPr>
            <w:r>
              <w:rPr>
                <w:rFonts w:hint="eastAsia"/>
                <w:bCs/>
                <w:szCs w:val="21"/>
                <w:lang w:val="en-US" w:eastAsia="zh-CN"/>
              </w:rPr>
              <w:t>江苏省教育厅</w:t>
            </w:r>
          </w:p>
        </w:tc>
        <w:tc>
          <w:tcPr>
            <w:tcW w:w="939" w:type="dxa"/>
            <w:vAlign w:val="top"/>
          </w:tcPr>
          <w:p>
            <w:pPr>
              <w:rPr>
                <w:rFonts w:hint="eastAsia"/>
                <w:bCs/>
                <w:szCs w:val="21"/>
                <w:lang w:val="en-US" w:eastAsia="zh-CN"/>
              </w:rPr>
            </w:pPr>
            <w:r>
              <w:rPr>
                <w:rFonts w:hint="eastAsia"/>
                <w:bCs/>
                <w:szCs w:val="21"/>
                <w:lang w:val="en-US" w:eastAsia="zh-CN"/>
              </w:rPr>
              <w:t>省级</w:t>
            </w:r>
          </w:p>
        </w:tc>
        <w:tc>
          <w:tcPr>
            <w:tcW w:w="1216" w:type="dxa"/>
            <w:vAlign w:val="top"/>
          </w:tcPr>
          <w:p>
            <w:pPr>
              <w:rPr>
                <w:rFonts w:hint="eastAsia"/>
                <w:bCs/>
                <w:szCs w:val="21"/>
                <w:lang w:val="en-US" w:eastAsia="zh-CN"/>
              </w:rPr>
            </w:pPr>
            <w:r>
              <w:rPr>
                <w:rFonts w:hint="eastAsia"/>
                <w:bCs/>
                <w:szCs w:val="21"/>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0" w:hRule="atLeast"/>
        </w:trPr>
        <w:tc>
          <w:tcPr>
            <w:tcW w:w="690" w:type="dxa"/>
            <w:vMerge w:val="continue"/>
            <w:vAlign w:val="center"/>
          </w:tcPr>
          <w:p>
            <w:pPr>
              <w:snapToGrid w:val="0"/>
              <w:rPr>
                <w:sz w:val="24"/>
              </w:rPr>
            </w:pPr>
          </w:p>
        </w:tc>
        <w:tc>
          <w:tcPr>
            <w:tcW w:w="3530" w:type="dxa"/>
            <w:vAlign w:val="top"/>
          </w:tcPr>
          <w:p>
            <w:pPr>
              <w:rPr>
                <w:rFonts w:hint="eastAsia"/>
                <w:bCs/>
                <w:szCs w:val="21"/>
                <w:lang w:val="en-US" w:eastAsia="zh-CN"/>
              </w:rPr>
            </w:pPr>
            <w:r>
              <w:rPr>
                <w:rFonts w:hint="eastAsia"/>
                <w:bCs/>
                <w:szCs w:val="21"/>
                <w:lang w:val="en-US" w:eastAsia="zh-CN"/>
              </w:rPr>
              <w:t>淮阴工学院优秀导师</w:t>
            </w:r>
          </w:p>
        </w:tc>
        <w:tc>
          <w:tcPr>
            <w:tcW w:w="1194" w:type="dxa"/>
            <w:vAlign w:val="top"/>
          </w:tcPr>
          <w:p>
            <w:pPr>
              <w:rPr>
                <w:rFonts w:hint="eastAsia"/>
                <w:bCs/>
                <w:szCs w:val="21"/>
                <w:lang w:val="en-US" w:eastAsia="zh-CN"/>
              </w:rPr>
            </w:pPr>
            <w:r>
              <w:rPr>
                <w:rFonts w:hint="eastAsia"/>
                <w:bCs/>
                <w:szCs w:val="21"/>
                <w:lang w:val="en-US" w:eastAsia="zh-CN"/>
              </w:rPr>
              <w:t>2014</w:t>
            </w:r>
          </w:p>
        </w:tc>
        <w:tc>
          <w:tcPr>
            <w:tcW w:w="2311" w:type="dxa"/>
            <w:vAlign w:val="top"/>
          </w:tcPr>
          <w:p>
            <w:pPr>
              <w:rPr>
                <w:rFonts w:hint="eastAsia"/>
                <w:bCs/>
                <w:szCs w:val="21"/>
                <w:lang w:val="en-US" w:eastAsia="zh-CN"/>
              </w:rPr>
            </w:pPr>
            <w:r>
              <w:rPr>
                <w:rFonts w:hint="eastAsia"/>
                <w:bCs/>
                <w:szCs w:val="21"/>
                <w:lang w:val="en-US" w:eastAsia="zh-CN"/>
              </w:rPr>
              <w:t>淮阴工学院</w:t>
            </w:r>
          </w:p>
        </w:tc>
        <w:tc>
          <w:tcPr>
            <w:tcW w:w="939" w:type="dxa"/>
            <w:vAlign w:val="top"/>
          </w:tcPr>
          <w:p>
            <w:pPr>
              <w:rPr>
                <w:rFonts w:hint="eastAsia"/>
                <w:bCs/>
                <w:szCs w:val="21"/>
                <w:lang w:val="en-US" w:eastAsia="zh-CN"/>
              </w:rPr>
            </w:pPr>
            <w:r>
              <w:rPr>
                <w:rFonts w:hint="eastAsia"/>
                <w:bCs/>
                <w:szCs w:val="21"/>
                <w:lang w:val="en-US" w:eastAsia="zh-CN"/>
              </w:rPr>
              <w:t>校级</w:t>
            </w:r>
          </w:p>
        </w:tc>
        <w:tc>
          <w:tcPr>
            <w:tcW w:w="1216" w:type="dxa"/>
            <w:vAlign w:val="top"/>
          </w:tcPr>
          <w:p>
            <w:pPr>
              <w:rPr>
                <w:rFonts w:hint="eastAsia"/>
                <w:bCs/>
                <w:szCs w:val="21"/>
                <w:lang w:val="en-US" w:eastAsia="zh-CN"/>
              </w:rPr>
            </w:pPr>
            <w:r>
              <w:rPr>
                <w:rFonts w:hint="eastAsia"/>
                <w:bCs/>
                <w:szCs w:val="21"/>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30" w:hRule="atLeast"/>
        </w:trPr>
        <w:tc>
          <w:tcPr>
            <w:tcW w:w="690" w:type="dxa"/>
            <w:vMerge w:val="continue"/>
            <w:vAlign w:val="center"/>
          </w:tcPr>
          <w:p>
            <w:pPr>
              <w:snapToGrid w:val="0"/>
              <w:rPr>
                <w:sz w:val="24"/>
              </w:rPr>
            </w:pPr>
          </w:p>
        </w:tc>
        <w:tc>
          <w:tcPr>
            <w:tcW w:w="3530" w:type="dxa"/>
            <w:vAlign w:val="top"/>
          </w:tcPr>
          <w:p>
            <w:pPr>
              <w:rPr>
                <w:rFonts w:hint="eastAsia"/>
                <w:bCs/>
                <w:szCs w:val="21"/>
                <w:lang w:val="en-US" w:eastAsia="zh-CN"/>
              </w:rPr>
            </w:pPr>
            <w:r>
              <w:rPr>
                <w:rFonts w:hint="eastAsia"/>
                <w:bCs/>
                <w:szCs w:val="21"/>
                <w:lang w:val="en-US" w:eastAsia="zh-CN"/>
              </w:rPr>
              <w:t>淮阴工学院先进工作者</w:t>
            </w:r>
          </w:p>
        </w:tc>
        <w:tc>
          <w:tcPr>
            <w:tcW w:w="1194" w:type="dxa"/>
            <w:vAlign w:val="top"/>
          </w:tcPr>
          <w:p>
            <w:pPr>
              <w:rPr>
                <w:rFonts w:hint="eastAsia"/>
                <w:bCs/>
                <w:szCs w:val="21"/>
                <w:lang w:val="en-US" w:eastAsia="zh-CN"/>
              </w:rPr>
            </w:pPr>
            <w:r>
              <w:rPr>
                <w:rFonts w:hint="eastAsia"/>
                <w:bCs/>
                <w:szCs w:val="21"/>
                <w:lang w:val="en-US" w:eastAsia="zh-CN"/>
              </w:rPr>
              <w:t>2014</w:t>
            </w:r>
          </w:p>
        </w:tc>
        <w:tc>
          <w:tcPr>
            <w:tcW w:w="2311" w:type="dxa"/>
            <w:vAlign w:val="top"/>
          </w:tcPr>
          <w:p>
            <w:pPr>
              <w:rPr>
                <w:rFonts w:hint="eastAsia"/>
                <w:bCs/>
                <w:szCs w:val="21"/>
                <w:lang w:val="en-US" w:eastAsia="zh-CN"/>
              </w:rPr>
            </w:pPr>
            <w:r>
              <w:rPr>
                <w:rFonts w:hint="eastAsia"/>
                <w:bCs/>
                <w:szCs w:val="21"/>
                <w:lang w:val="en-US" w:eastAsia="zh-CN"/>
              </w:rPr>
              <w:t>淮阴工学院</w:t>
            </w:r>
          </w:p>
        </w:tc>
        <w:tc>
          <w:tcPr>
            <w:tcW w:w="939" w:type="dxa"/>
            <w:vAlign w:val="top"/>
          </w:tcPr>
          <w:p>
            <w:pPr>
              <w:rPr>
                <w:rFonts w:hint="eastAsia"/>
                <w:bCs/>
                <w:szCs w:val="21"/>
                <w:lang w:val="en-US" w:eastAsia="zh-CN"/>
              </w:rPr>
            </w:pPr>
            <w:r>
              <w:rPr>
                <w:rFonts w:hint="eastAsia"/>
                <w:bCs/>
                <w:szCs w:val="21"/>
                <w:lang w:val="en-US" w:eastAsia="zh-CN"/>
              </w:rPr>
              <w:t>校级</w:t>
            </w:r>
          </w:p>
        </w:tc>
        <w:tc>
          <w:tcPr>
            <w:tcW w:w="1216" w:type="dxa"/>
            <w:vAlign w:val="top"/>
          </w:tcPr>
          <w:p>
            <w:pPr>
              <w:rPr>
                <w:rFonts w:hint="eastAsia"/>
                <w:bCs/>
                <w:szCs w:val="21"/>
                <w:lang w:val="en-US" w:eastAsia="zh-CN"/>
              </w:rPr>
            </w:pPr>
            <w:r>
              <w:rPr>
                <w:rFonts w:hint="eastAsia"/>
                <w:bCs/>
                <w:szCs w:val="21"/>
                <w:lang w:val="en-US" w:eastAsia="zh-CN"/>
              </w:rPr>
              <w:t>1/1</w:t>
            </w:r>
          </w:p>
        </w:tc>
      </w:tr>
    </w:tbl>
    <w:p>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EFF" w:usb1="C0007843"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Verdana">
    <w:panose1 w:val="020B0604030504040204"/>
    <w:charset w:val="00"/>
    <w:family w:val="decorative"/>
    <w:pitch w:val="default"/>
    <w:sig w:usb0="A10006FF" w:usb1="4000205B" w:usb2="00000010" w:usb3="00000000" w:csb0="2000019F" w:csb1="00000000"/>
  </w:font>
  <w:font w:name="仿宋_GB2312">
    <w:altName w:val="仿宋"/>
    <w:panose1 w:val="02010609030101010101"/>
    <w:charset w:val="86"/>
    <w:family w:val="swiss"/>
    <w:pitch w:val="default"/>
    <w:sig w:usb0="00000000" w:usb1="00000000" w:usb2="00000010" w:usb3="00000000" w:csb0="00040000" w:csb1="00000000"/>
  </w:font>
  <w:font w:name="楷体_GB2312">
    <w:altName w:val="楷体"/>
    <w:panose1 w:val="02010609030101010101"/>
    <w:charset w:val="86"/>
    <w:family w:val="swiss"/>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1"/>
    <w:family w:val="roman"/>
    <w:pitch w:val="default"/>
    <w:sig w:usb0="E0002EFF" w:usb1="C0007843" w:usb2="00000009" w:usb3="00000000" w:csb0="400001FF" w:csb1="FFFF0000"/>
  </w:font>
  <w:font w:name="Courier New">
    <w:panose1 w:val="02070309020205020404"/>
    <w:charset w:val="01"/>
    <w:family w:val="decorative"/>
    <w:pitch w:val="default"/>
    <w:sig w:usb0="E0002E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Verdana">
    <w:panose1 w:val="020B0604030504040204"/>
    <w:charset w:val="00"/>
    <w:family w:val="roman"/>
    <w:pitch w:val="default"/>
    <w:sig w:usb0="A10006FF" w:usb1="4000205B" w:usb2="00000010" w:usb3="00000000" w:csb0="2000019F" w:csb1="00000000"/>
  </w:font>
  <w:font w:name="仿宋_GB2312">
    <w:altName w:val="仿宋"/>
    <w:panose1 w:val="02010609030101010101"/>
    <w:charset w:val="86"/>
    <w:family w:val="decorative"/>
    <w:pitch w:val="default"/>
    <w:sig w:usb0="00000000" w:usb1="00000000" w:usb2="00000010" w:usb3="00000000" w:csb0="00040000" w:csb1="00000000"/>
  </w:font>
  <w:font w:name="楷体_GB2312">
    <w:altName w:val="楷体"/>
    <w:panose1 w:val="02010609030101010101"/>
    <w:charset w:val="86"/>
    <w:family w:val="decorative"/>
    <w:pitch w:val="default"/>
    <w:sig w:usb0="00000000" w:usb1="00000000" w:usb2="00000010" w:usb3="00000000" w:csb0="00040000" w:csb1="00000000"/>
  </w:font>
  <w:font w:name="仿宋">
    <w:panose1 w:val="02010609060101010101"/>
    <w:charset w:val="86"/>
    <w:family w:val="decorative"/>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 w:name="Arial">
    <w:panose1 w:val="020B0604020202020204"/>
    <w:charset w:val="01"/>
    <w:family w:val="modern"/>
    <w:pitch w:val="default"/>
    <w:sig w:usb0="E0002EFF" w:usb1="C0007843" w:usb2="00000009" w:usb3="00000000" w:csb0="400001FF" w:csb1="FFFF0000"/>
  </w:font>
  <w:font w:name="Courier New">
    <w:panose1 w:val="02070309020205020404"/>
    <w:charset w:val="01"/>
    <w:family w:val="roman"/>
    <w:pitch w:val="default"/>
    <w:sig w:usb0="E0002E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modern"/>
    <w:pitch w:val="default"/>
    <w:sig w:usb0="A10006FF" w:usb1="4000205B" w:usb2="00000010" w:usb3="00000000" w:csb0="2000019F" w:csb1="00000000"/>
  </w:font>
  <w:font w:name="仿宋_GB2312">
    <w:altName w:val="仿宋"/>
    <w:panose1 w:val="02010609030101010101"/>
    <w:charset w:val="86"/>
    <w:family w:val="roman"/>
    <w:pitch w:val="default"/>
    <w:sig w:usb0="00000000" w:usb1="00000000" w:usb2="00000010" w:usb3="00000000" w:csb0="00040000" w:csb1="00000000"/>
  </w:font>
  <w:font w:name="楷体_GB2312">
    <w:altName w:val="楷体"/>
    <w:panose1 w:val="02010609030101010101"/>
    <w:charset w:val="86"/>
    <w:family w:val="roman"/>
    <w:pitch w:val="default"/>
    <w:sig w:usb0="00000000" w:usb1="00000000" w:usb2="00000010" w:usb3="00000000" w:csb0="00040000" w:csb1="0000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Arial">
    <w:panose1 w:val="020B0604020202020204"/>
    <w:charset w:val="00"/>
    <w:family w:val="auto"/>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F41DF0"/>
    <w:rsid w:val="01F41DF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2016-03-10T03:32:00Z</dcterms:created>
  <dc:creator>兢</dc:creator>
  <cp:lastModifiedBy>兢</cp:lastModifiedBy>
  <dcterms:modified xsi:type="dcterms:W3CDTF">2016-03-10T03:40:40Z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ies>
</file>