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b/>
          <w:color w:val="272727"/>
          <w:kern w:val="36"/>
          <w:sz w:val="15"/>
          <w:szCs w:val="15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</w:pPr>
      <w:r>
        <w:rPr>
          <w:rFonts w:hint="eastAsia" w:ascii="微软雅黑" w:hAnsi="微软雅黑" w:eastAsia="微软雅黑" w:cs="微软雅黑"/>
          <w:color w:val="272727"/>
          <w:kern w:val="36"/>
          <w:sz w:val="24"/>
          <w:szCs w:val="24"/>
          <w:bdr w:val="none" w:color="auto" w:sz="0" w:space="0"/>
          <w:shd w:val="clear" w:fill="FFFFFF"/>
          <w:lang w:val="en-US" w:eastAsia="zh-CN" w:bidi="ar"/>
        </w:rPr>
        <w:t>拉曼大学 - Universiti Tunku Abdul Rahman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学校简介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　</w:t>
      </w: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拉曼大学(Universiti Tunku Abdul Rahman)成立于2002年，是由马来西亚拉曼大学教育基金会创办的一所非盈利高等教育学府。拉曼大学的成立是为了因应国家发展的需要，以扩增国民在高等教育的受教机会，并促使马来西亚成为一个学习与多功能的社会。拉曼大学的创校宗旨主要是成为一间卓越的大学，在提升学术的同时，也注重学识的传达、专业人才的培养及推动个人身心发展的工作，以作育英才、建设国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自成立以来，拉曼大学无论在基础设施、学术成就乃至教职员工的优质度、学生的录取率，都取得了显著的增长和扩张。拉曼大学将根据当前与未来社会的需要及科研的开发，继续开拓和提供更多应用和市场导向的大学预科、本科和研究生水平的课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拉曼大学现有4个校区，学生将依其选读科系分发，分别是巴生谷地区的八打灵再也（Petaling Jaya)、吉隆坡和双溪龙（Sungai Long），以及在霹雳金宝的主校区。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霹雳校区： 文学与社会科学学院，工商与金融学院，工程与绿色科技，资讯与通讯科技学院，理学院，基础课程中心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八打灵再也校区：创意产业学院，中华研究中心，基础课程中心，高等教育与研究所，延续教育中心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吉隆坡校区：理工学院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双溪龙镇校区： 会计与管理学院， 医学与保健科学学院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大学优势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1. 由教育基金会出资修建的一所非盈利教育机构，规模庞大，环境优美，专业齐全；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2. 获马来西亚高等教育部MOHE、马来西亚学术鉴定局MQA及中国教育部教育涉外监管信息网认证；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3. 获北美精算师协会SOA及马来西亚工程师局BEM认证；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4. 获马来西亚建筑师协会BQSM及英国特许建造学会RICS认证；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5. 获英国皇家化学学会RSC及英国特许会计师学会ACCA认证；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6. 获英国特许管理会计师公会CIMA及英国特许秘书与行政人员公会ICSA认证。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设施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/>
        <w:jc w:val="left"/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　　1. 教学区：教学楼、教室设备齐全，装饰美观，有空调；1000多部电脑的电脑室、阶梯教室、藏书百万册的图书馆、实验室、资源中心、展览大厅、咖啡吧、休息室、会议室及操场一应俱全，国际学生事务部为您处理各种问题，并设有学生福利委员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2. 住宿区：大学设有学生公寓，分为两个区域（校内与校外），有单人间，双人间和三人间，有空调及电扇，亦有电视、冰箱、沙发、衣橱、窗帘和电热水器等生活设施，还有餐厅和超市，24小时保安，每月生活费用约1500~2000元人民币。（1马币=2.0元人民币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300"/>
        <w:jc w:val="left"/>
        <w:rPr>
          <w:rFonts w:hint="eastAsia" w:ascii="微软雅黑" w:hAnsi="微软雅黑" w:eastAsia="微软雅黑" w:cs="宋体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</w:pPr>
      <w:r>
        <w:rPr>
          <w:rFonts w:hint="eastAsia" w:ascii="微软雅黑" w:hAnsi="微软雅黑" w:eastAsia="微软雅黑" w:cs="微软雅黑"/>
          <w:b/>
          <w:bCs w:val="0"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附件3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640"/>
        <w:jc w:val="center"/>
      </w:pPr>
      <w:r>
        <w:rPr>
          <w:rFonts w:hint="eastAsia" w:ascii="微软雅黑" w:hAnsi="微软雅黑" w:eastAsia="微软雅黑" w:cs="微软雅黑"/>
          <w:bCs/>
          <w:color w:val="333333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淮阴工学院学生境外学习项目报名申请表</w:t>
      </w:r>
    </w:p>
    <w:tbl>
      <w:tblPr>
        <w:tblW w:w="823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2035"/>
        <w:gridCol w:w="737"/>
        <w:gridCol w:w="236"/>
        <w:gridCol w:w="559"/>
        <w:gridCol w:w="720"/>
        <w:gridCol w:w="1067"/>
        <w:gridCol w:w="833"/>
        <w:gridCol w:w="1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234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3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出生日期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家庭住址</w:t>
            </w:r>
          </w:p>
        </w:tc>
        <w:tc>
          <w:tcPr>
            <w:tcW w:w="76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本人手机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电邮地址</w:t>
            </w:r>
          </w:p>
        </w:tc>
        <w:tc>
          <w:tcPr>
            <w:tcW w:w="3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父亲姓名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父亲手机</w:t>
            </w:r>
          </w:p>
        </w:tc>
        <w:tc>
          <w:tcPr>
            <w:tcW w:w="3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母亲姓名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母亲手机</w:t>
            </w:r>
          </w:p>
        </w:tc>
        <w:tc>
          <w:tcPr>
            <w:tcW w:w="3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英语水平</w:t>
            </w:r>
          </w:p>
        </w:tc>
        <w:tc>
          <w:tcPr>
            <w:tcW w:w="76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exact"/>
              <w:ind w:left="0" w:right="0" w:firstLine="48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全国大学英语考试：□4级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分，□6级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exact"/>
              <w:ind w:left="0" w:right="0" w:firstLine="48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其他英语测试成绩：□雅思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分，□托福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exac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在校期间获奖情况</w:t>
            </w:r>
          </w:p>
        </w:tc>
        <w:tc>
          <w:tcPr>
            <w:tcW w:w="76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境外学习项目名称</w:t>
            </w:r>
          </w:p>
        </w:tc>
        <w:tc>
          <w:tcPr>
            <w:tcW w:w="76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 w:firstLine="480"/>
              <w:jc w:val="left"/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淮阴工学院学生2018假期赴马来西亚拉曼大学</w:t>
            </w:r>
            <w:r>
              <w:rPr>
                <w:rFonts w:hint="eastAsia" w:ascii="微软雅黑" w:hAnsi="微软雅黑" w:eastAsia="微软雅黑" w:cs="微软雅黑"/>
                <w:bCs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创新实践训练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营项目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学院意见</w:t>
            </w:r>
          </w:p>
        </w:tc>
        <w:tc>
          <w:tcPr>
            <w:tcW w:w="76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 w:firstLine="1200" w:firstLineChars="800"/>
              <w:jc w:val="right"/>
            </w:pPr>
            <w:r>
              <w:rPr>
                <w:rFonts w:hint="default" w:ascii="仿宋_GB2312" w:hAnsi="仿宋" w:eastAsia="仿宋_GB2312" w:cs="仿宋_GB2312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2017年 月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家长意见</w:t>
            </w:r>
          </w:p>
        </w:tc>
        <w:tc>
          <w:tcPr>
            <w:tcW w:w="76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 w:firstLine="2100" w:firstLineChars="1400"/>
              <w:jc w:val="right"/>
            </w:pPr>
            <w:r>
              <w:rPr>
                <w:rFonts w:hint="default" w:ascii="仿宋_GB2312" w:hAnsi="仿宋" w:eastAsia="仿宋_GB2312" w:cs="仿宋_GB2312"/>
                <w:color w:val="333333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2017年 月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color w:val="333333"/>
          <w:kern w:val="0"/>
          <w:sz w:val="15"/>
          <w:szCs w:val="15"/>
          <w:bdr w:val="none" w:color="auto" w:sz="0" w:space="0"/>
          <w:shd w:val="clear" w:fill="FFFFFF"/>
          <w:lang w:val="en-US" w:eastAsia="zh-CN" w:bidi="ar"/>
        </w:rPr>
        <w:t>附件4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</w:pP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报名汇总表</w:t>
      </w:r>
    </w:p>
    <w:tbl>
      <w:tblPr>
        <w:tblpPr w:leftFromText="180" w:rightFromText="180" w:vertAnchor="page" w:horzAnchor="margin" w:tblpXSpec="left" w:tblpY="2305"/>
        <w:tblW w:w="8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27"/>
        <w:gridCol w:w="883"/>
        <w:gridCol w:w="1702"/>
        <w:gridCol w:w="1276"/>
        <w:gridCol w:w="1417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学生姓名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所在学院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手机号码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QQ号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ascii="楷体" w:hAnsi="楷体" w:eastAsia="楷体" w:cs="楷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Verdana" w:hAnsi="Verdana" w:cs="Verdana"/>
                <w:color w:val="333333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B0F8F"/>
    <w:rsid w:val="142B0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333333"/>
      <w:u w:val="none"/>
    </w:rPr>
  </w:style>
  <w:style w:type="character" w:styleId="6">
    <w:name w:val="Hyperlink"/>
    <w:basedOn w:val="4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2018-04-20T13:56:00Z</dcterms:created>
  <dc:creator>Tian</dc:creator>
  <cp:lastModifiedBy>Tian</cp:lastModifiedBy>
  <dcterms:modified xsi:type="dcterms:W3CDTF">2018-04-20T14:04:03Z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